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864DBC" w14:paraId="2314AD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314ADA9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864DBC" w14:paraId="2314AD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2314ADAC" w14:textId="12B12886" w:rsidR="00EB3B4F" w:rsidRPr="00A81D67" w:rsidRDefault="001E0FD4" w:rsidP="00EE0101">
            <w:pPr>
              <w:rPr>
                <w:rFonts w:eastAsia="Calibri" w:cstheme="minorHAnsi"/>
                <w:lang w:val="en-US"/>
              </w:rPr>
            </w:pPr>
            <w:r w:rsidRPr="00A81D67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 xml:space="preserve">Thinking sociologically: </w:t>
            </w:r>
            <w:r w:rsidR="007E7510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>A</w:t>
            </w:r>
            <w:r w:rsidRPr="00A81D67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>nalyses and interpretations</w:t>
            </w:r>
          </w:p>
        </w:tc>
      </w:tr>
      <w:tr w:rsidR="00EB3B4F" w:rsidRPr="00891FE6" w14:paraId="2314AD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314ADAF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864DBC" w14:paraId="2314AD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2314ADB2" w14:textId="52485D4E" w:rsidR="00921D63" w:rsidRPr="00921D63" w:rsidRDefault="003339D8" w:rsidP="003339D8">
            <w:pPr>
              <w:rPr>
                <w:rFonts w:eastAsia="Calibri"/>
                <w:lang w:val="en-US"/>
              </w:rPr>
            </w:pPr>
            <w:r w:rsidRPr="003339D8">
              <w:rPr>
                <w:rFonts w:eastAsia="Calibri"/>
                <w:lang w:val="en-US"/>
              </w:rPr>
              <w:t xml:space="preserve">The </w:t>
            </w:r>
            <w:r>
              <w:rPr>
                <w:rFonts w:eastAsia="Calibri"/>
                <w:lang w:val="en-US"/>
              </w:rPr>
              <w:t xml:space="preserve">objective of this course is to discuss </w:t>
            </w:r>
            <w:r w:rsidRPr="00921D63">
              <w:rPr>
                <w:rFonts w:eastAsia="Calibri"/>
                <w:lang w:val="en-US"/>
              </w:rPr>
              <w:t xml:space="preserve">the </w:t>
            </w:r>
            <w:r>
              <w:rPr>
                <w:rFonts w:eastAsia="Calibri"/>
                <w:lang w:val="en-US"/>
              </w:rPr>
              <w:t>r</w:t>
            </w:r>
            <w:r w:rsidRPr="00921D63">
              <w:rPr>
                <w:rFonts w:eastAsia="Calibri"/>
                <w:lang w:val="en-US"/>
              </w:rPr>
              <w:t xml:space="preserve">ecent selected </w:t>
            </w:r>
            <w:r w:rsidR="00225952">
              <w:rPr>
                <w:rFonts w:eastAsia="Calibri"/>
                <w:lang w:val="en-US"/>
              </w:rPr>
              <w:t>publications</w:t>
            </w:r>
            <w:r w:rsidRPr="00921D63">
              <w:rPr>
                <w:rFonts w:eastAsia="Calibri"/>
                <w:lang w:val="en-US"/>
              </w:rPr>
              <w:t xml:space="preserve"> that </w:t>
            </w:r>
            <w:r>
              <w:rPr>
                <w:rFonts w:eastAsia="Calibri"/>
                <w:lang w:val="en-US"/>
              </w:rPr>
              <w:t xml:space="preserve">sociologically </w:t>
            </w:r>
            <w:r w:rsidRPr="00921D63">
              <w:rPr>
                <w:rFonts w:eastAsia="Calibri"/>
                <w:lang w:val="en-US"/>
              </w:rPr>
              <w:t xml:space="preserve">analyze and interpret </w:t>
            </w:r>
            <w:r>
              <w:rPr>
                <w:rFonts w:eastAsia="Calibri"/>
                <w:lang w:val="en-US"/>
              </w:rPr>
              <w:t xml:space="preserve">various aspects of </w:t>
            </w:r>
            <w:r w:rsidRPr="00921D63">
              <w:rPr>
                <w:rFonts w:eastAsia="Calibri"/>
                <w:lang w:val="en-US"/>
              </w:rPr>
              <w:t>the social world</w:t>
            </w:r>
            <w:r w:rsidR="00534FF2">
              <w:rPr>
                <w:rFonts w:eastAsia="Calibri"/>
                <w:lang w:val="en-US"/>
              </w:rPr>
              <w:t>, and thus to broaden the participants’ intellectual horizons and develop their knowledge and research skills.</w:t>
            </w:r>
          </w:p>
        </w:tc>
      </w:tr>
      <w:tr w:rsidR="00EB3B4F" w:rsidRPr="00864DBC" w14:paraId="2314ADB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2ED6D24F" w14:textId="48D2CA73" w:rsidR="007000DA" w:rsidRPr="00380FB5" w:rsidRDefault="007000DA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59AD73DE" w14:textId="282F9B92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knows the theories and </w:t>
            </w:r>
            <w:r w:rsidR="004C5C91">
              <w:rPr>
                <w:rFonts w:eastAsia="Times New Roman" w:cstheme="minorHAnsi"/>
                <w:color w:val="000000"/>
                <w:lang w:val="en-US"/>
              </w:rPr>
              <w:t xml:space="preserve">empirical 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research that are </w:t>
            </w:r>
            <w:r w:rsidR="00225952">
              <w:rPr>
                <w:rFonts w:eastAsia="Times New Roman" w:cstheme="minorHAnsi"/>
                <w:color w:val="000000"/>
                <w:lang w:val="en-US"/>
              </w:rPr>
              <w:t>presented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 in the </w:t>
            </w:r>
            <w:r w:rsidR="00DF6D4C">
              <w:rPr>
                <w:rFonts w:eastAsia="Times New Roman" w:cstheme="minorHAnsi"/>
                <w:color w:val="000000"/>
                <w:lang w:val="en-US"/>
              </w:rPr>
              <w:t>publication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>s discussed during the course.</w:t>
            </w:r>
          </w:p>
          <w:p w14:paraId="02E6DEB6" w14:textId="6D5AA703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>The student can analyze aspects of the social world by means of those theories and can design similar research.</w:t>
            </w:r>
          </w:p>
          <w:p w14:paraId="280C197F" w14:textId="3D3DF0BE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>The student can critically assess the theories and research discussed.</w:t>
            </w:r>
          </w:p>
          <w:p w14:paraId="2314ADB5" w14:textId="77777777" w:rsidR="00823CD8" w:rsidRPr="007000DA" w:rsidRDefault="00823CD8" w:rsidP="00EE0101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864DBC" w14:paraId="2314ADB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AEEB6D3" w14:textId="4288C4CF" w:rsidR="00EB3B4F" w:rsidRPr="00225952" w:rsidRDefault="00EB3B4F" w:rsidP="00D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0FEE5D25" w14:textId="77777777" w:rsidR="00D802B5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 xml:space="preserve">The learning outcomes of the course will be assessed </w:t>
            </w:r>
            <w:r>
              <w:rPr>
                <w:rFonts w:eastAsia="Calibri"/>
                <w:lang w:val="en-US"/>
              </w:rPr>
              <w:t>during in-class discussions and through written assignments.</w:t>
            </w:r>
          </w:p>
          <w:p w14:paraId="2314ADB8" w14:textId="4A03D425" w:rsidR="00225952" w:rsidRPr="00225952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A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314ADBB" w14:textId="6349CE7E" w:rsidR="00EB3B4F" w:rsidRPr="008410BF" w:rsidRDefault="00C70592" w:rsidP="00EE0101">
            <w:pPr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C7059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Optional</w:t>
            </w:r>
            <w:proofErr w:type="spellEnd"/>
          </w:p>
        </w:tc>
      </w:tr>
      <w:tr w:rsidR="00EB3B4F" w:rsidRPr="00891FE6" w14:paraId="2314AD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2314ADBE" w14:textId="7C6F0FB6" w:rsidR="00EB3B4F" w:rsidRPr="003A23CC" w:rsidRDefault="003F0AA5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3F0AA5">
              <w:rPr>
                <w:rFonts w:eastAsia="Calibri"/>
                <w:vertAlign w:val="superscript"/>
                <w:lang w:val="en-GB"/>
              </w:rPr>
              <w:t>st</w:t>
            </w:r>
            <w:r>
              <w:rPr>
                <w:rFonts w:eastAsia="Calibri"/>
                <w:lang w:val="en-GB"/>
              </w:rPr>
              <w:t xml:space="preserve"> or 2</w:t>
            </w:r>
            <w:r w:rsidRPr="003F0AA5">
              <w:rPr>
                <w:rFonts w:eastAsia="Calibri"/>
                <w:vertAlign w:val="superscript"/>
                <w:lang w:val="en-GB"/>
              </w:rPr>
              <w:t>nd</w:t>
            </w:r>
            <w:r>
              <w:rPr>
                <w:rFonts w:eastAsia="Calibri"/>
                <w:lang w:val="en-GB"/>
              </w:rPr>
              <w:t xml:space="preserve"> </w:t>
            </w:r>
            <w:r w:rsidR="00C70592">
              <w:rPr>
                <w:rFonts w:eastAsia="Calibri"/>
                <w:lang w:val="en-GB"/>
              </w:rPr>
              <w:t xml:space="preserve"> </w:t>
            </w:r>
          </w:p>
        </w:tc>
      </w:tr>
      <w:tr w:rsidR="00EB3B4F" w:rsidRPr="00E454CA" w14:paraId="2314ADC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314ADC1" w14:textId="2985B52E" w:rsidR="00EB3B4F" w:rsidRPr="003A23CC" w:rsidRDefault="00921D6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  <w:r w:rsidRPr="00921D63">
              <w:rPr>
                <w:rFonts w:eastAsia="Calibri"/>
                <w:vertAlign w:val="superscript"/>
                <w:lang w:val="en-GB"/>
              </w:rPr>
              <w:t>nd</w:t>
            </w:r>
          </w:p>
        </w:tc>
      </w:tr>
      <w:tr w:rsidR="00EB3B4F" w:rsidRPr="003339D8" w14:paraId="2314ADC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4" w14:textId="647FA899" w:rsidR="00EB3B4F" w:rsidRPr="00542B38" w:rsidRDefault="003203E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Marek </w:t>
            </w:r>
            <w:proofErr w:type="spellStart"/>
            <w:r>
              <w:rPr>
                <w:rFonts w:eastAsia="Calibri"/>
                <w:lang w:val="en-US"/>
              </w:rPr>
              <w:t>Kucia</w:t>
            </w:r>
            <w:proofErr w:type="spellEnd"/>
          </w:p>
        </w:tc>
      </w:tr>
      <w:tr w:rsidR="00EB3B4F" w:rsidRPr="00864DBC" w14:paraId="2314ADC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6" w14:textId="482664A5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7" w14:textId="77777777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C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314ADCA" w14:textId="04DA00A4" w:rsidR="003203E2" w:rsidRPr="003203E2" w:rsidRDefault="003203E2" w:rsidP="005D6D5F">
            <w:pPr>
              <w:rPr>
                <w:rFonts w:eastAsia="Calibri"/>
              </w:rPr>
            </w:pPr>
            <w:r>
              <w:rPr>
                <w:rFonts w:eastAsia="Calibri"/>
                <w:spacing w:val="-8"/>
                <w:lang w:eastAsia="pl-PL"/>
              </w:rPr>
              <w:t>Seminar</w:t>
            </w:r>
          </w:p>
        </w:tc>
      </w:tr>
      <w:tr w:rsidR="00EB3B4F" w:rsidRPr="00864DBC" w14:paraId="2314ADC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057D46D7" w14:textId="72B39A84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course </w:t>
            </w:r>
            <w:r w:rsidRPr="00921D63">
              <w:rPr>
                <w:rFonts w:eastAsia="Calibri"/>
                <w:lang w:val="en-US"/>
              </w:rPr>
              <w:t xml:space="preserve">is intended for </w:t>
            </w:r>
            <w:r>
              <w:rPr>
                <w:rFonts w:eastAsia="Calibri"/>
                <w:lang w:val="en-US"/>
              </w:rPr>
              <w:t>both sociologists and non-sociologists. The non-sociologists interested in following this course are advised to complete the “</w:t>
            </w:r>
            <w:r w:rsidR="004C5C91">
              <w:rPr>
                <w:rFonts w:eastAsia="Calibri"/>
                <w:lang w:val="en-US"/>
              </w:rPr>
              <w:t xml:space="preserve">Thinking sociologically: </w:t>
            </w:r>
            <w:r>
              <w:rPr>
                <w:rFonts w:eastAsia="Calibri"/>
                <w:lang w:val="en-US"/>
              </w:rPr>
              <w:t xml:space="preserve">Key concepts in sociology” course taught in the first semester. There are no preliminary or additional </w:t>
            </w:r>
            <w:r>
              <w:rPr>
                <w:rFonts w:eastAsia="Calibri"/>
                <w:lang w:val="en-US"/>
              </w:rPr>
              <w:lastRenderedPageBreak/>
              <w:t>requirements for the sociologists wishing to pursue this course.</w:t>
            </w:r>
          </w:p>
          <w:p w14:paraId="2314ADCD" w14:textId="6E928175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B3B4F" w:rsidRPr="00873398" w14:paraId="2314ADD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31394DF9" w14:textId="4BEE62EE" w:rsidR="00873398" w:rsidRPr="00873398" w:rsidRDefault="00873398" w:rsidP="00F938D5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873398">
              <w:rPr>
                <w:rFonts w:eastAsia="Calibri" w:cstheme="minorHAnsi"/>
                <w:lang w:val="en-US"/>
              </w:rPr>
              <w:t xml:space="preserve">Seminar – </w:t>
            </w:r>
            <w:r w:rsidR="005C08A4">
              <w:rPr>
                <w:rFonts w:eastAsia="Calibri" w:cstheme="minorHAnsi"/>
                <w:lang w:val="en-US"/>
              </w:rPr>
              <w:t>30</w:t>
            </w:r>
            <w:r w:rsidRPr="00873398">
              <w:rPr>
                <w:rFonts w:eastAsia="Calibri" w:cstheme="minorHAnsi"/>
                <w:lang w:val="en-US"/>
              </w:rPr>
              <w:t xml:space="preserve"> h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225CDB4A" w14:textId="6966D47D" w:rsidR="00EB3B4F" w:rsidRDefault="001E044C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ECTS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864DBC" w14:paraId="2314ADD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6AF79495" w14:textId="687DE0CE" w:rsidR="005C08A4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P</w:t>
            </w:r>
            <w:r w:rsidR="005C08A4">
              <w:rPr>
                <w:rFonts w:eastAsia="Calibri"/>
                <w:lang w:val="en-US"/>
              </w:rPr>
              <w:t>articipation at classes – 30 h</w:t>
            </w:r>
          </w:p>
          <w:p w14:paraId="698BF0B3" w14:textId="6ABBCFD4" w:rsidR="00225952" w:rsidRPr="00225952" w:rsidRDefault="005C08A4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</w:t>
            </w:r>
            <w:r w:rsidR="00225952" w:rsidRPr="00225952">
              <w:rPr>
                <w:rFonts w:eastAsia="Calibri"/>
                <w:lang w:val="en-US"/>
              </w:rPr>
              <w:t>eparation for classes—reading literature assigned</w:t>
            </w:r>
            <w:r>
              <w:rPr>
                <w:rFonts w:eastAsia="Calibri"/>
                <w:lang w:val="en-US"/>
              </w:rPr>
              <w:t xml:space="preserve"> and preparing presentations</w:t>
            </w:r>
            <w:r w:rsidR="00225952" w:rsidRPr="00225952">
              <w:rPr>
                <w:rFonts w:eastAsia="Calibri"/>
                <w:lang w:val="en-US"/>
              </w:rPr>
              <w:t xml:space="preserve"> – </w:t>
            </w:r>
            <w:r>
              <w:rPr>
                <w:rFonts w:eastAsia="Calibri"/>
                <w:lang w:val="en-US"/>
              </w:rPr>
              <w:t>30</w:t>
            </w:r>
            <w:r w:rsidR="00225952" w:rsidRPr="00225952">
              <w:rPr>
                <w:rFonts w:eastAsia="Calibri"/>
                <w:lang w:val="en-US"/>
              </w:rPr>
              <w:t xml:space="preserve"> h</w:t>
            </w:r>
          </w:p>
          <w:p w14:paraId="4B8A8A15" w14:textId="077C6BFC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 xml:space="preserve">Writing </w:t>
            </w:r>
            <w:r w:rsidR="005C08A4">
              <w:rPr>
                <w:rFonts w:eastAsia="Calibri"/>
                <w:lang w:val="en-US"/>
              </w:rPr>
              <w:t>notes on literature</w:t>
            </w:r>
            <w:r w:rsidRPr="00225952">
              <w:rPr>
                <w:rFonts w:eastAsia="Calibri"/>
                <w:lang w:val="en-US"/>
              </w:rPr>
              <w:t xml:space="preserve"> – </w:t>
            </w:r>
            <w:r w:rsidR="005C08A4">
              <w:rPr>
                <w:rFonts w:eastAsia="Calibri"/>
                <w:lang w:val="en-US"/>
              </w:rPr>
              <w:t>15</w:t>
            </w:r>
            <w:r w:rsidRPr="00225952">
              <w:rPr>
                <w:rFonts w:eastAsia="Calibri"/>
                <w:lang w:val="en-US"/>
              </w:rPr>
              <w:t xml:space="preserve"> h</w:t>
            </w:r>
          </w:p>
          <w:p w14:paraId="2B426A53" w14:textId="64F18A9A" w:rsid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Studying for and writing an essay review – 15 h</w:t>
            </w:r>
          </w:p>
          <w:p w14:paraId="52FD6DA7" w14:textId="77777777" w:rsidR="00225952" w:rsidRDefault="00D63A37" w:rsidP="00D63A37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Total: 90 h</w:t>
            </w:r>
          </w:p>
          <w:p w14:paraId="2314ADD7" w14:textId="30374276" w:rsidR="00D63A37" w:rsidRPr="00225952" w:rsidRDefault="00D63A37" w:rsidP="00D63A37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2314ADDA" w14:textId="465F8453" w:rsidR="0034195F" w:rsidRPr="0034195F" w:rsidRDefault="0034195F" w:rsidP="008D7ED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Seminar</w:t>
            </w:r>
          </w:p>
        </w:tc>
      </w:tr>
      <w:tr w:rsidR="00EB3B4F" w:rsidRPr="00864DBC" w14:paraId="2314ADD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2314ADDD" w14:textId="45258CAE" w:rsidR="0034195F" w:rsidRPr="0034195F" w:rsidRDefault="0034195F" w:rsidP="00F07A74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>Short reviews of publications discussed during the course</w:t>
            </w:r>
            <w:r>
              <w:rPr>
                <w:rFonts w:eastAsia="Calibri"/>
                <w:lang w:val="en-US"/>
              </w:rPr>
              <w:t xml:space="preserve"> </w:t>
            </w:r>
            <w:r w:rsidR="001F5D0F">
              <w:rPr>
                <w:rFonts w:eastAsia="Calibri"/>
                <w:lang w:val="en-US"/>
              </w:rPr>
              <w:t xml:space="preserve">(500–1,000 words each) </w:t>
            </w:r>
            <w:r>
              <w:rPr>
                <w:rFonts w:eastAsia="Calibri"/>
                <w:lang w:val="en-US"/>
              </w:rPr>
              <w:t xml:space="preserve">and an essay review </w:t>
            </w:r>
            <w:r w:rsidR="001F5D0F">
              <w:rPr>
                <w:rFonts w:eastAsia="Calibri"/>
                <w:lang w:val="en-US"/>
              </w:rPr>
              <w:t xml:space="preserve">(1,500–3,000 words) </w:t>
            </w:r>
            <w:r>
              <w:rPr>
                <w:rFonts w:eastAsia="Calibri"/>
                <w:lang w:val="en-US"/>
              </w:rPr>
              <w:t>of one of the publications.</w:t>
            </w:r>
            <w:r w:rsidRPr="0034195F"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864DBC" w14:paraId="2314AD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2314ADE0" w14:textId="4DD4E119" w:rsidR="0034195F" w:rsidRPr="0034195F" w:rsidRDefault="0034195F" w:rsidP="00146BD3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 xml:space="preserve">Topics of specific classes will be </w:t>
            </w:r>
            <w:r>
              <w:rPr>
                <w:rFonts w:eastAsia="Calibri"/>
                <w:lang w:val="en-US"/>
              </w:rPr>
              <w:t xml:space="preserve">determined </w:t>
            </w:r>
            <w:r w:rsidR="00BE5133">
              <w:rPr>
                <w:rFonts w:eastAsia="Calibri"/>
                <w:lang w:val="en-US"/>
              </w:rPr>
              <w:t xml:space="preserve">during the first class </w:t>
            </w:r>
            <w:r w:rsidR="006D2862">
              <w:rPr>
                <w:rFonts w:eastAsia="Calibri"/>
                <w:lang w:val="en-US"/>
              </w:rPr>
              <w:t xml:space="preserve">based on </w:t>
            </w:r>
            <w:r w:rsidR="006C4520">
              <w:rPr>
                <w:rFonts w:eastAsia="Calibri"/>
                <w:lang w:val="en-US"/>
              </w:rPr>
              <w:t xml:space="preserve">the course instructor’s current research, and </w:t>
            </w:r>
            <w:r w:rsidR="006D2862">
              <w:rPr>
                <w:rFonts w:eastAsia="Calibri"/>
                <w:lang w:val="en-US"/>
              </w:rPr>
              <w:t>students’ interests and research needs</w:t>
            </w:r>
            <w:r w:rsidR="005C08A4">
              <w:rPr>
                <w:rFonts w:eastAsia="Calibri"/>
                <w:lang w:val="en-US"/>
              </w:rPr>
              <w:t xml:space="preserve">. </w:t>
            </w:r>
          </w:p>
        </w:tc>
      </w:tr>
      <w:tr w:rsidR="00EB3B4F" w:rsidRPr="00864DBC" w14:paraId="2314ADE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2314ADE3" w14:textId="1B2C95D2" w:rsidR="0034195F" w:rsidRPr="0034195F" w:rsidRDefault="004C5C91" w:rsidP="002335C7">
            <w:pPr>
              <w:rPr>
                <w:rFonts w:eastAsia="Calibri" w:cstheme="minorHAnsi"/>
                <w:lang w:val="en-US"/>
              </w:rPr>
            </w:pP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The c</w:t>
            </w:r>
            <w:r w:rsidR="0034195F"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ourse instructor and students will decide on </w:t>
            </w:r>
            <w:r w:rsidR="006C4520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the </w:t>
            </w:r>
            <w:r w:rsidR="0034195F"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literature for the course </w:t>
            </w:r>
            <w:r w:rsidR="0002333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during the</w:t>
            </w:r>
            <w:r w:rsidR="0034195F"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first </w:t>
            </w:r>
            <w:r w:rsidR="006C4520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(and next) </w:t>
            </w:r>
            <w:r w:rsidR="0034195F" w:rsidRP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class</w:t>
            </w:r>
            <w:r w:rsidR="006C4520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(es)</w:t>
            </w:r>
            <w:r w:rsidR="0002333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taking into account </w:t>
            </w:r>
            <w:r w:rsidR="006C4520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their</w:t>
            </w:r>
            <w:r w:rsidR="00023337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interests</w:t>
            </w:r>
            <w:r w:rsidR="00225952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  <w:r w:rsidR="006C4520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and research needs, </w:t>
            </w:r>
            <w:r w:rsidR="00225952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and recent publications</w:t>
            </w:r>
            <w:r w:rsidR="0034195F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</w:t>
            </w:r>
          </w:p>
        </w:tc>
      </w:tr>
    </w:tbl>
    <w:p w14:paraId="2314ADE5" w14:textId="77777777" w:rsidR="00EB3B4F" w:rsidRPr="0034195F" w:rsidRDefault="00EB3B4F" w:rsidP="00EB3B4F">
      <w:pPr>
        <w:rPr>
          <w:lang w:val="en-US"/>
        </w:rPr>
      </w:pPr>
    </w:p>
    <w:p w14:paraId="2314ADE6" w14:textId="77777777" w:rsidR="005009C0" w:rsidRPr="0034195F" w:rsidRDefault="005009C0">
      <w:pPr>
        <w:rPr>
          <w:lang w:val="en-US"/>
        </w:rPr>
      </w:pPr>
    </w:p>
    <w:sectPr w:rsidR="005009C0" w:rsidRPr="003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7E0"/>
    <w:multiLevelType w:val="hybridMultilevel"/>
    <w:tmpl w:val="071E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97081">
    <w:abstractNumId w:val="4"/>
  </w:num>
  <w:num w:numId="2" w16cid:durableId="1374310821">
    <w:abstractNumId w:val="5"/>
  </w:num>
  <w:num w:numId="3" w16cid:durableId="1128015467">
    <w:abstractNumId w:val="3"/>
  </w:num>
  <w:num w:numId="4" w16cid:durableId="437331476">
    <w:abstractNumId w:val="1"/>
  </w:num>
  <w:num w:numId="5" w16cid:durableId="64880988">
    <w:abstractNumId w:val="0"/>
  </w:num>
  <w:num w:numId="6" w16cid:durableId="1623998205">
    <w:abstractNumId w:val="2"/>
  </w:num>
  <w:num w:numId="7" w16cid:durableId="369693894">
    <w:abstractNumId w:val="7"/>
  </w:num>
  <w:num w:numId="8" w16cid:durableId="52671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3337"/>
    <w:rsid w:val="000B3C03"/>
    <w:rsid w:val="000C0811"/>
    <w:rsid w:val="001301EC"/>
    <w:rsid w:val="00146BD3"/>
    <w:rsid w:val="00180DC0"/>
    <w:rsid w:val="001E044C"/>
    <w:rsid w:val="001E0FD4"/>
    <w:rsid w:val="001F5D0F"/>
    <w:rsid w:val="00225952"/>
    <w:rsid w:val="002335C7"/>
    <w:rsid w:val="002B2D87"/>
    <w:rsid w:val="002D6A36"/>
    <w:rsid w:val="002F3514"/>
    <w:rsid w:val="003203E2"/>
    <w:rsid w:val="003339D8"/>
    <w:rsid w:val="0034195F"/>
    <w:rsid w:val="00376D83"/>
    <w:rsid w:val="00380FB5"/>
    <w:rsid w:val="00386772"/>
    <w:rsid w:val="003F0AA5"/>
    <w:rsid w:val="004A31F2"/>
    <w:rsid w:val="004C5C91"/>
    <w:rsid w:val="005009C0"/>
    <w:rsid w:val="00534FF2"/>
    <w:rsid w:val="00535625"/>
    <w:rsid w:val="00542B38"/>
    <w:rsid w:val="005947AB"/>
    <w:rsid w:val="00595EA0"/>
    <w:rsid w:val="005C08A4"/>
    <w:rsid w:val="005D6D5F"/>
    <w:rsid w:val="006919EC"/>
    <w:rsid w:val="006C4520"/>
    <w:rsid w:val="006D2862"/>
    <w:rsid w:val="007000DA"/>
    <w:rsid w:val="00793025"/>
    <w:rsid w:val="007B5A0B"/>
    <w:rsid w:val="007E7510"/>
    <w:rsid w:val="0082220F"/>
    <w:rsid w:val="008235D3"/>
    <w:rsid w:val="00823CD8"/>
    <w:rsid w:val="008410BF"/>
    <w:rsid w:val="00864DBC"/>
    <w:rsid w:val="00873398"/>
    <w:rsid w:val="00891FE6"/>
    <w:rsid w:val="008A3A3B"/>
    <w:rsid w:val="008D7EDA"/>
    <w:rsid w:val="00921D63"/>
    <w:rsid w:val="00A60ABC"/>
    <w:rsid w:val="00A81D67"/>
    <w:rsid w:val="00AC38E9"/>
    <w:rsid w:val="00B95050"/>
    <w:rsid w:val="00BA4CD0"/>
    <w:rsid w:val="00BE5133"/>
    <w:rsid w:val="00C47115"/>
    <w:rsid w:val="00C649F7"/>
    <w:rsid w:val="00C70592"/>
    <w:rsid w:val="00CA1C9F"/>
    <w:rsid w:val="00CA4418"/>
    <w:rsid w:val="00CA5677"/>
    <w:rsid w:val="00D6078C"/>
    <w:rsid w:val="00D63A37"/>
    <w:rsid w:val="00D802B5"/>
    <w:rsid w:val="00DF0B43"/>
    <w:rsid w:val="00DF6D4C"/>
    <w:rsid w:val="00E45B95"/>
    <w:rsid w:val="00EB3B4F"/>
    <w:rsid w:val="00EE71C5"/>
    <w:rsid w:val="00F07A74"/>
    <w:rsid w:val="00F938D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2023-01-25T09:38:00Z</dcterms:created>
  <dcterms:modified xsi:type="dcterms:W3CDTF">2023-01-25T09:38:00Z</dcterms:modified>
</cp:coreProperties>
</file>