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A5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2314ADA6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2314ADA7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636"/>
      </w:tblGrid>
      <w:tr w:rsidR="00EB3B4F" w:rsidRPr="00326A22" w14:paraId="2314ADA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8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314ADA9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326A22" w14:paraId="2314ADA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B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2314ADAC" w14:textId="23E41DEF" w:rsidR="00EB3B4F" w:rsidRPr="009727B3" w:rsidRDefault="009727B3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727B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ETHNOGRAPHY AS METHOD IN S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OCIAL SCIENCE</w:t>
            </w:r>
          </w:p>
        </w:tc>
      </w:tr>
      <w:tr w:rsidR="00EB3B4F" w:rsidRPr="00891FE6" w14:paraId="2314ADB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E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2314ADAF" w14:textId="77777777" w:rsidR="00EB3B4F" w:rsidRPr="004C7741" w:rsidRDefault="00823CD8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  <w:r w:rsidRPr="004C7741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English</w:t>
            </w:r>
          </w:p>
        </w:tc>
      </w:tr>
      <w:tr w:rsidR="00EB3B4F" w:rsidRPr="00326A22" w14:paraId="2314ADB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1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2314ADB2" w14:textId="4A6D56B2" w:rsidR="00595EA0" w:rsidRPr="00F76EB2" w:rsidRDefault="00F76EB2" w:rsidP="00F76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goal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F76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course is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acquaint </w:t>
            </w:r>
            <w:r w:rsidRPr="00F76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participants with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purpose, techniques, ethical requirements and theoretical relevance of ethnographic field research and ethnographic rapports. Relevance of ethnography in hypothesis building and case exploration in Social Science will be underscored. </w:t>
            </w:r>
          </w:p>
        </w:tc>
      </w:tr>
      <w:tr w:rsidR="00EB3B4F" w:rsidRPr="00AD333C" w14:paraId="2314ADB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4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18F231B4" w14:textId="4CDF2DB6" w:rsidR="00DF0B43" w:rsidRPr="00326A22" w:rsidRDefault="00DF0B43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38581A66" w14:textId="586E4E4C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various types of ethnographic research designs are prepared. </w:t>
            </w:r>
          </w:p>
          <w:p w14:paraId="46B58126" w14:textId="77777777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ethnographers conduct participant observation and make notes while in the field. </w:t>
            </w:r>
          </w:p>
          <w:p w14:paraId="3C2165E1" w14:textId="77777777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 how situational analysis is conducted.</w:t>
            </w:r>
          </w:p>
          <w:p w14:paraId="357DD9E1" w14:textId="77777777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to conduct ethnographic interview. </w:t>
            </w:r>
          </w:p>
          <w:p w14:paraId="381C5EA3" w14:textId="6EF3E24A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to draw valid inferences from the ethnographic evidence.   </w:t>
            </w:r>
          </w:p>
          <w:p w14:paraId="2DB4AB6E" w14:textId="77777777" w:rsidR="00163FC1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what are ethical requirements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concerns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 research is conducted and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research results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 written up and published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721649F" w14:textId="4ACBCD09" w:rsidR="00163FC1" w:rsidRDefault="00163FC1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ethnographic rapport is prepared. </w:t>
            </w:r>
          </w:p>
          <w:p w14:paraId="32815C14" w14:textId="412ED5D8" w:rsidR="00A840B1" w:rsidRPr="00A840B1" w:rsidRDefault="00A840B1" w:rsidP="00A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[SOC_K02_W02],[SOC_K02_W06]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,[SOC_K02_W09], [SOC_K02_W10].</w:t>
            </w:r>
          </w:p>
          <w:p w14:paraId="307C4ED4" w14:textId="0771C438" w:rsidR="0090321F" w:rsidRDefault="0090321F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capable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using ethnographic evidence in social scientific analysis.</w:t>
            </w:r>
          </w:p>
          <w:p w14:paraId="3D77FB74" w14:textId="6E87A5AF" w:rsidR="0090321F" w:rsidRDefault="0090321F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capable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using ethnographic techniques of analysis: participant observation, situational analysis, ethnographic interviewing</w:t>
            </w:r>
            <w:r w:rsid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narrative analysis, autoethnography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  <w:p w14:paraId="242C764B" w14:textId="3CCEA85E" w:rsidR="0090321F" w:rsidRDefault="0090321F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capable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undertaking research with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deeper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understanding of ethical concerns and requirements. </w:t>
            </w:r>
          </w:p>
          <w:p w14:paraId="5DD97807" w14:textId="2D3080D9" w:rsidR="0090321F" w:rsidRDefault="0090321F" w:rsidP="0090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capable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connecting ethnographic research designs with </w:t>
            </w:r>
            <w:r w:rsidR="00A8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various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theoretical problems and policy issues. </w:t>
            </w:r>
          </w:p>
          <w:p w14:paraId="38CBC0B3" w14:textId="1F822421" w:rsidR="004C7741" w:rsidRPr="008D7D04" w:rsidRDefault="004C7741" w:rsidP="0090321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4172">
              <w:rPr>
                <w:rFonts w:ascii="inherit" w:eastAsia="Times New Roman" w:hAnsi="inherit" w:cs="Arial"/>
                <w:sz w:val="21"/>
                <w:szCs w:val="21"/>
                <w:lang w:eastAsia="pl-PL"/>
              </w:rPr>
              <w:t>[</w:t>
            </w:r>
            <w:r w:rsidRPr="008D7D04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SOC_K2_U01]</w:t>
            </w:r>
            <w:r w:rsidR="008D7D04" w:rsidRPr="008D7D04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, [SOC_K2_U02], [SOC_K2_U03]</w:t>
            </w:r>
          </w:p>
          <w:p w14:paraId="629DADEE" w14:textId="0852455D" w:rsidR="00163FC1" w:rsidRDefault="0090321F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ready to participate in ethnographic fieldwork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ethnographic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interviewing.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Student is ready to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participate in collaborative research projects involving researchers and community members. </w:t>
            </w:r>
            <w:r w:rsidR="00163FC1"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ready to elucidate, problematize and criticize his/her own tacit assumptions concerning relationship with members of different groups. </w:t>
            </w:r>
          </w:p>
          <w:p w14:paraId="677F6E42" w14:textId="3E5F6B62" w:rsidR="0090321F" w:rsidRPr="0090321F" w:rsidRDefault="00AD333C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ready to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repare oral presentation or written document on the basis of ethnographic evidence.  </w:t>
            </w:r>
          </w:p>
          <w:p w14:paraId="2314ADB5" w14:textId="1520643B" w:rsidR="00823CD8" w:rsidRPr="00AD333C" w:rsidRDefault="00AD333C" w:rsidP="00EE0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[SOC_K2_U08], [SOC_K2_U09], [SOC_K2_U10]</w:t>
            </w:r>
          </w:p>
        </w:tc>
      </w:tr>
      <w:tr w:rsidR="00EB3B4F" w:rsidRPr="00326A22" w14:paraId="2314ADB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4AEEB6D3" w14:textId="3AA9186B" w:rsidR="00EB3B4F" w:rsidRPr="00E20F6F" w:rsidRDefault="00E20F6F" w:rsidP="00D802B5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iCs/>
                <w:sz w:val="24"/>
                <w:szCs w:val="24"/>
                <w:lang w:val="en-US"/>
              </w:rPr>
            </w:pPr>
            <w:r w:rsidRPr="00E20F6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Oral exam</w:t>
            </w:r>
            <w:r w:rsidR="00B13AD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ination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="00B13AD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Workshop attendance</w:t>
            </w:r>
            <w:r w:rsidR="0085460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and a</w:t>
            </w:r>
            <w:r w:rsidR="00B13AD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ctive  </w:t>
            </w:r>
            <w:r w:rsidR="0085460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="00B13AD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articipation.  </w:t>
            </w:r>
          </w:p>
          <w:p w14:paraId="2314ADB8" w14:textId="528ECA2B" w:rsidR="00D802B5" w:rsidRPr="00E20F6F" w:rsidRDefault="00D802B5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</w:tc>
      </w:tr>
      <w:tr w:rsidR="00EB3B4F" w:rsidRPr="00595EA0" w14:paraId="2314ADB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A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314ADBB" w14:textId="7905F5BD" w:rsidR="00EB3B4F" w:rsidRPr="00E20F6F" w:rsidRDefault="00E20F6F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Optional</w:t>
            </w:r>
          </w:p>
        </w:tc>
      </w:tr>
      <w:tr w:rsidR="00EB3B4F" w:rsidRPr="00891FE6" w14:paraId="2314ADB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D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2314ADBE" w14:textId="1CE00731" w:rsidR="00EB3B4F" w:rsidRPr="003A23CC" w:rsidRDefault="00595EA0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="00326A22">
              <w:rPr>
                <w:rFonts w:eastAsia="Calibri"/>
                <w:lang w:val="en-GB"/>
              </w:rPr>
              <w:t>-3.</w:t>
            </w:r>
          </w:p>
        </w:tc>
      </w:tr>
      <w:tr w:rsidR="00EB3B4F" w:rsidRPr="00E454CA" w14:paraId="2314ADC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0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2314ADC1" w14:textId="312289F8" w:rsidR="00EB3B4F" w:rsidRPr="003E2203" w:rsidRDefault="009673F9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  <w:r w:rsidRPr="003E2203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S</w:t>
            </w:r>
            <w:r w:rsidR="00793025" w:rsidRPr="003E2203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ummer</w:t>
            </w:r>
          </w:p>
        </w:tc>
      </w:tr>
      <w:tr w:rsidR="00EB3B4F" w:rsidRPr="009673F9" w14:paraId="2314ADC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3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4" w14:textId="2DB94654" w:rsidR="00EB3B4F" w:rsidRPr="00D671D1" w:rsidRDefault="009673F9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71D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Marcin </w:t>
            </w:r>
            <w:proofErr w:type="spellStart"/>
            <w:r w:rsidRPr="00D671D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Lubaś</w:t>
            </w:r>
            <w:proofErr w:type="spellEnd"/>
            <w:r w:rsidRPr="00D671D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, Katarzyna </w:t>
            </w:r>
            <w:proofErr w:type="spellStart"/>
            <w:r w:rsidRPr="00D671D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Słaby</w:t>
            </w:r>
            <w:proofErr w:type="spellEnd"/>
          </w:p>
        </w:tc>
      </w:tr>
      <w:tr w:rsidR="00EB3B4F" w:rsidRPr="0090321F" w14:paraId="2314ADC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6" w14:textId="51332EE6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7" w14:textId="170A1771" w:rsidR="00EB3B4F" w:rsidRPr="0085460B" w:rsidRDefault="0085460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Marcin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Lubaś</w:t>
            </w:r>
            <w:proofErr w:type="spellEnd"/>
            <w:r w:rsidRPr="008546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3B4F" w:rsidRPr="00793025" w14:paraId="2314ADC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314ADCA" w14:textId="69895EFF" w:rsidR="00595EA0" w:rsidRPr="0085460B" w:rsidRDefault="0085460B" w:rsidP="005D6D5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6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Lectures, workshops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B3B4F" w:rsidRPr="00E454CA" w14:paraId="2314ADC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2CAB046D" w14:textId="2C9D5888" w:rsidR="00EB3B4F" w:rsidRPr="00A55713" w:rsidRDefault="00A55713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557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preliminary, or additional requir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57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ments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0ABC" w:rsidRPr="00A55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2314ADCD" w14:textId="3BD9C6C3" w:rsidR="00A60ABC" w:rsidRPr="00A60ABC" w:rsidRDefault="00A60ABC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3B4F" w:rsidRPr="00793025" w14:paraId="2314ADD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F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314ADD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01B69308" w14:textId="49D25C31" w:rsidR="00F938D5" w:rsidRPr="000F01E7" w:rsidRDefault="000F01E7" w:rsidP="000F0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01E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Lectures – 12 h, workshops – 8 h. </w:t>
            </w:r>
          </w:p>
          <w:p w14:paraId="2314ADD1" w14:textId="77777777" w:rsidR="00CA1C9F" w:rsidRPr="00CA1C9F" w:rsidRDefault="00CA1C9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2314AD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3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225CDB4A" w14:textId="09F6B3F8" w:rsidR="00EB3B4F" w:rsidRPr="00B13ADC" w:rsidRDefault="00B13ADC" w:rsidP="00B13AD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3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</w:t>
            </w:r>
            <w:r w:rsidR="00B95050" w:rsidRPr="00B13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ECTS </w:t>
            </w:r>
          </w:p>
          <w:p w14:paraId="2314ADD4" w14:textId="78925F3F" w:rsidR="00B95050" w:rsidRPr="00B95050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3B4F" w:rsidRPr="00326A22" w14:paraId="2314ADD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6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7F4D665C" w14:textId="3AF6DE12" w:rsidR="00BF11A7" w:rsidRPr="00BF11A7" w:rsidRDefault="00BF11A7" w:rsidP="00CA441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Lectures and workshops</w:t>
            </w:r>
            <w:r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20 hours </w:t>
            </w:r>
          </w:p>
          <w:p w14:paraId="57A9AAE4" w14:textId="4B45711B" w:rsidR="00BF11A7" w:rsidRPr="00BF11A7" w:rsidRDefault="00BF11A7" w:rsidP="00CA441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Student's own work: 20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</w:p>
          <w:p w14:paraId="516530C9" w14:textId="51DDBD9A" w:rsidR="00BF11A7" w:rsidRPr="00BF11A7" w:rsidRDefault="0085460B" w:rsidP="00CA441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BF11A7"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reparing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the readings for lectures and workshops</w:t>
            </w:r>
            <w:r w:rsidR="00BF11A7"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="00BF11A7"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 </w:t>
            </w:r>
          </w:p>
          <w:p w14:paraId="2314ADD7" w14:textId="77777777" w:rsidR="00E45B95" w:rsidRPr="00326A22" w:rsidRDefault="00E45B95" w:rsidP="00CA1C9F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2314ADDA" w14:textId="7D3FE2F9" w:rsidR="00EB3B4F" w:rsidRPr="009C084A" w:rsidRDefault="009C084A" w:rsidP="009C084A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C084A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Lectures and workshops </w:t>
            </w:r>
          </w:p>
        </w:tc>
      </w:tr>
      <w:tr w:rsidR="00EB3B4F" w:rsidRPr="00326A22" w14:paraId="2314ADD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C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Form and conditions of passing a component, including conditions of allowing to take an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2314ADDD" w14:textId="76CC5E96" w:rsidR="00EB3B4F" w:rsidRPr="009C084A" w:rsidRDefault="00B13ADC" w:rsidP="00B13ADC">
            <w:pPr>
              <w:jc w:val="both"/>
              <w:rPr>
                <w:rFonts w:eastAsia="Calibri"/>
                <w:lang w:val="en-US"/>
              </w:rPr>
            </w:pPr>
            <w:r w:rsidRPr="00E20F6F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The student will be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expected to answer three questions regarding the specific course problematics. Answering correctly at least one </w:t>
            </w:r>
            <w:r w:rsidRPr="00E20F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 required to pass the exam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answering correctly two questions is required to get good (4), answering correctly three questions is required to get very good (5).  </w:t>
            </w:r>
          </w:p>
        </w:tc>
      </w:tr>
      <w:tr w:rsidR="00EB3B4F" w:rsidRPr="00326A22" w14:paraId="2314AD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F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7701E016" w14:textId="7E3F8899" w:rsidR="000A1CA9" w:rsidRPr="003E2203" w:rsidRDefault="000A1CA9" w:rsidP="000A1CA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Research Designs in Ethnography; </w:t>
            </w:r>
          </w:p>
          <w:p w14:paraId="57303F0B" w14:textId="6A3BBF95" w:rsidR="000A1CA9" w:rsidRPr="003E2203" w:rsidRDefault="000A1CA9" w:rsidP="000A1CA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Participant observation and art of making fieldnotes;</w:t>
            </w:r>
          </w:p>
          <w:p w14:paraId="57F19707" w14:textId="77777777" w:rsidR="000A1CA9" w:rsidRPr="003E2203" w:rsidRDefault="000A1CA9" w:rsidP="000A1CA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Ethnics in ethnographic encounter;</w:t>
            </w:r>
          </w:p>
          <w:p w14:paraId="5B154A08" w14:textId="498AB9FB" w:rsidR="000A1CA9" w:rsidRPr="003E2203" w:rsidRDefault="000A1CA9" w:rsidP="000A1CA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Process of building relationships in fieldwork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;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 </w:t>
            </w:r>
          </w:p>
          <w:p w14:paraId="1DEE1E3D" w14:textId="70CED33D" w:rsidR="000A1CA9" w:rsidRPr="003E2203" w:rsidRDefault="00EA2686" w:rsidP="000A1CA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Situational </w:t>
            </w:r>
            <w:r w:rsidR="000A1CA9"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analysis in ethnographic research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;</w:t>
            </w:r>
            <w:r w:rsidR="000A1CA9"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 </w:t>
            </w:r>
          </w:p>
          <w:p w14:paraId="5AAF335C" w14:textId="6A0D9E89" w:rsidR="000A1CA9" w:rsidRPr="003E2203" w:rsidRDefault="000A1CA9" w:rsidP="000A1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6.    Ethnographic Interviews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;</w:t>
            </w:r>
          </w:p>
          <w:p w14:paraId="6B8A4401" w14:textId="2787CB22" w:rsidR="000A1CA9" w:rsidRPr="003E2203" w:rsidRDefault="000A1CA9" w:rsidP="000A1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7.    Narrative inquiry and autoethnographic insight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;</w:t>
            </w:r>
          </w:p>
          <w:p w14:paraId="637AD2E0" w14:textId="10FBE3C0" w:rsidR="000A1CA9" w:rsidRPr="003E2203" w:rsidRDefault="000A1CA9" w:rsidP="000A1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8. </w:t>
            </w:r>
            <w:r w:rsidR="0085460B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   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Documents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, 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Artifacts 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and Virtuality 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in Ethnographic Research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;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 </w:t>
            </w:r>
          </w:p>
          <w:p w14:paraId="7BB6159E" w14:textId="2D3F9735" w:rsidR="000A1CA9" w:rsidRPr="003E2203" w:rsidRDefault="000A1CA9" w:rsidP="000A1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9. </w:t>
            </w:r>
            <w:r w:rsidR="0085460B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   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Writing up 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E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thnographic 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T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exts</w:t>
            </w:r>
            <w:r w:rsid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>;</w:t>
            </w:r>
          </w:p>
          <w:p w14:paraId="51C25A46" w14:textId="40805ECC" w:rsidR="000A1CA9" w:rsidRPr="003E2203" w:rsidRDefault="000A1CA9" w:rsidP="000A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      10. </w:t>
            </w:r>
            <w:r w:rsidR="0085460B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 </w:t>
            </w:r>
            <w:r w:rsidRPr="003E2203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  <w:t xml:space="preserve">Politics of Representation in Ethnographic Text </w:t>
            </w:r>
          </w:p>
          <w:p w14:paraId="280E20A6" w14:textId="77777777" w:rsidR="000A1CA9" w:rsidRPr="000A1CA9" w:rsidRDefault="000A1CA9" w:rsidP="000A1C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 w:eastAsia="pl-PL"/>
              </w:rPr>
            </w:pPr>
          </w:p>
          <w:p w14:paraId="2314ADE0" w14:textId="77777777" w:rsidR="00F07A74" w:rsidRPr="000A1CA9" w:rsidRDefault="00F07A74" w:rsidP="00146BD3">
            <w:pPr>
              <w:rPr>
                <w:rFonts w:eastAsia="Calibri"/>
                <w:lang w:val="en-US"/>
              </w:rPr>
            </w:pPr>
          </w:p>
        </w:tc>
      </w:tr>
      <w:tr w:rsidR="00EB3B4F" w:rsidRPr="00326A22" w14:paraId="2314ADE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E2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70476D93" w14:textId="1D3B1A71" w:rsidR="002335C7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0CB08A90" w14:textId="7830619B" w:rsidR="001449F3" w:rsidRDefault="009673F9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Amit,</w:t>
            </w:r>
            <w:r w:rsid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V.</w:t>
            </w:r>
            <w:r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Constructing the Field, W</w:t>
            </w:r>
            <w:r w:rsidR="001449F3"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: Constructing the Field. Ethnographic Fieldwork in the Contemporary World, </w:t>
            </w:r>
            <w:proofErr w:type="spellStart"/>
            <w:r w:rsidR="001449F3"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Vered</w:t>
            </w:r>
            <w:proofErr w:type="spellEnd"/>
            <w:r w:rsidR="001449F3"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Amit (red.), London and New York</w:t>
            </w:r>
            <w:r w:rsid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2000.</w:t>
            </w:r>
          </w:p>
          <w:p w14:paraId="4DC95068" w14:textId="58E62821" w:rsidR="00D671D1" w:rsidRDefault="00D671D1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Bernard, H. Russel, Research Methods in Anthropology, Lanham and New York, </w:t>
            </w:r>
            <w:r w:rsidR="003E2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2018,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p. 210-250.   </w:t>
            </w:r>
          </w:p>
          <w:p w14:paraId="314A4FD3" w14:textId="2788FFC8" w:rsidR="001449F3" w:rsidRDefault="001449F3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Clandinin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, J. Engaging in Narrative Inquiry</w:t>
            </w:r>
            <w:r w:rsidR="004B42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London and New York 2013.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 </w:t>
            </w:r>
          </w:p>
          <w:p w14:paraId="7F7212E0" w14:textId="4AA183CE" w:rsidR="009673F9" w:rsidRPr="001449F3" w:rsidRDefault="001449F3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Hammersley, M. Atkinson, P. Ethnography. Principles in Practice, London and New York 2019.   </w:t>
            </w:r>
            <w:r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</w:t>
            </w:r>
            <w:r w:rsidR="009673F9"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</w:p>
          <w:p w14:paraId="1FD6C07F" w14:textId="77777777" w:rsidR="009673F9" w:rsidRPr="001449F3" w:rsidRDefault="009673F9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7F4395D0" w14:textId="61E38F9A" w:rsidR="002335C7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637D0E9D" w14:textId="1DB3C586" w:rsidR="00C458E7" w:rsidRDefault="00C458E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C458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Andre, S. Searching for 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n Autoethnographic Ethic,</w:t>
            </w:r>
            <w:r w:rsidR="00EA26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Oxford and New York 2017.</w:t>
            </w:r>
          </w:p>
          <w:p w14:paraId="462C5FEB" w14:textId="55E3A7EB" w:rsidR="00EA2686" w:rsidRDefault="00EA2686" w:rsidP="00C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Kapferer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B. In the Event: Toward an Anthropology of Generic Moments, </w:t>
            </w:r>
            <w:r w:rsidR="003E2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Meinert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L.,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Kapferer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, B. (red.), In the Event: Toward an Anthropology of Generic Moments, Oxford and New York 2015</w:t>
            </w:r>
            <w:r w:rsidR="00D671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   </w:t>
            </w:r>
          </w:p>
          <w:p w14:paraId="1BF0F835" w14:textId="68E577A8" w:rsidR="000A1CA9" w:rsidRPr="000A1CA9" w:rsidRDefault="00C458E7" w:rsidP="00C458E7">
            <w:pPr>
              <w:spacing w:after="0" w:line="240" w:lineRule="auto"/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McLean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Leibing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A. (red.) The Shadow Side of Fieldwork: Exploring the Blurred Borders Between Ethnography and Life, Oxford 2007.       </w:t>
            </w:r>
          </w:p>
          <w:p w14:paraId="066EC43A" w14:textId="77777777" w:rsidR="000A1CA9" w:rsidRDefault="000A1CA9" w:rsidP="000A1CA9">
            <w:pPr>
              <w:pStyle w:val="Akapitzlist"/>
              <w:rPr>
                <w:lang w:val="en-US"/>
              </w:rPr>
            </w:pPr>
          </w:p>
          <w:p w14:paraId="2314ADE3" w14:textId="14AD7063" w:rsidR="00F07A74" w:rsidRPr="0090321F" w:rsidRDefault="00F07A74" w:rsidP="002335C7">
            <w:pPr>
              <w:rPr>
                <w:rFonts w:eastAsia="Calibri"/>
                <w:lang w:val="en-US"/>
              </w:rPr>
            </w:pPr>
          </w:p>
        </w:tc>
      </w:tr>
    </w:tbl>
    <w:p w14:paraId="06D8946B" w14:textId="77777777" w:rsidR="001449F3" w:rsidRPr="0090321F" w:rsidRDefault="001449F3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en-US"/>
        </w:rPr>
      </w:pPr>
    </w:p>
    <w:p w14:paraId="2E46F67A" w14:textId="07A5319F" w:rsidR="000A1CA9" w:rsidRPr="0090321F" w:rsidRDefault="000A1CA9" w:rsidP="000A1CA9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val="en-US" w:eastAsia="pl-PL"/>
        </w:rPr>
      </w:pPr>
    </w:p>
    <w:p w14:paraId="4EDFCF28" w14:textId="77777777" w:rsidR="000A1CA9" w:rsidRPr="0090321F" w:rsidRDefault="000A1CA9" w:rsidP="000A1CA9">
      <w:pPr>
        <w:pStyle w:val="Akapitzlist"/>
        <w:rPr>
          <w:lang w:val="en-US"/>
        </w:rPr>
      </w:pPr>
    </w:p>
    <w:sectPr w:rsidR="000A1CA9" w:rsidRPr="009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724B"/>
    <w:multiLevelType w:val="hybridMultilevel"/>
    <w:tmpl w:val="F88A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4ADF"/>
    <w:multiLevelType w:val="hybridMultilevel"/>
    <w:tmpl w:val="0764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162676">
    <w:abstractNumId w:val="5"/>
  </w:num>
  <w:num w:numId="2" w16cid:durableId="1210190008">
    <w:abstractNumId w:val="7"/>
  </w:num>
  <w:num w:numId="3" w16cid:durableId="458651444">
    <w:abstractNumId w:val="3"/>
  </w:num>
  <w:num w:numId="4" w16cid:durableId="1826555736">
    <w:abstractNumId w:val="1"/>
  </w:num>
  <w:num w:numId="5" w16cid:durableId="708722469">
    <w:abstractNumId w:val="0"/>
  </w:num>
  <w:num w:numId="6" w16cid:durableId="1092900595">
    <w:abstractNumId w:val="2"/>
  </w:num>
  <w:num w:numId="7" w16cid:durableId="1083457254">
    <w:abstractNumId w:val="8"/>
  </w:num>
  <w:num w:numId="8" w16cid:durableId="1729068260">
    <w:abstractNumId w:val="4"/>
  </w:num>
  <w:num w:numId="9" w16cid:durableId="1781299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A1CA9"/>
    <w:rsid w:val="000C0811"/>
    <w:rsid w:val="000F01E7"/>
    <w:rsid w:val="001301EC"/>
    <w:rsid w:val="001449F3"/>
    <w:rsid w:val="00146BD3"/>
    <w:rsid w:val="00163FC1"/>
    <w:rsid w:val="002335C7"/>
    <w:rsid w:val="002A7BF0"/>
    <w:rsid w:val="002D6A36"/>
    <w:rsid w:val="002F3514"/>
    <w:rsid w:val="00326A22"/>
    <w:rsid w:val="00376D83"/>
    <w:rsid w:val="003E2203"/>
    <w:rsid w:val="004B4247"/>
    <w:rsid w:val="004C7741"/>
    <w:rsid w:val="005009C0"/>
    <w:rsid w:val="00535625"/>
    <w:rsid w:val="00542B38"/>
    <w:rsid w:val="0057298A"/>
    <w:rsid w:val="005947AB"/>
    <w:rsid w:val="00595EA0"/>
    <w:rsid w:val="005D6D5F"/>
    <w:rsid w:val="00793025"/>
    <w:rsid w:val="007B5A0B"/>
    <w:rsid w:val="0082220F"/>
    <w:rsid w:val="008235D3"/>
    <w:rsid w:val="00823CD8"/>
    <w:rsid w:val="008410BF"/>
    <w:rsid w:val="0085460B"/>
    <w:rsid w:val="00891FE6"/>
    <w:rsid w:val="008A3A3B"/>
    <w:rsid w:val="008C3591"/>
    <w:rsid w:val="008D7D04"/>
    <w:rsid w:val="008D7EDA"/>
    <w:rsid w:val="0090321F"/>
    <w:rsid w:val="009673F9"/>
    <w:rsid w:val="009727B3"/>
    <w:rsid w:val="009C084A"/>
    <w:rsid w:val="00A55713"/>
    <w:rsid w:val="00A60ABC"/>
    <w:rsid w:val="00A840B1"/>
    <w:rsid w:val="00AC38E9"/>
    <w:rsid w:val="00AD333C"/>
    <w:rsid w:val="00B13ADC"/>
    <w:rsid w:val="00B95050"/>
    <w:rsid w:val="00BF11A7"/>
    <w:rsid w:val="00C458E7"/>
    <w:rsid w:val="00C649F7"/>
    <w:rsid w:val="00CA1C9F"/>
    <w:rsid w:val="00CA4418"/>
    <w:rsid w:val="00CA5677"/>
    <w:rsid w:val="00D6078C"/>
    <w:rsid w:val="00D671D1"/>
    <w:rsid w:val="00D802B5"/>
    <w:rsid w:val="00DB7C7D"/>
    <w:rsid w:val="00DF0B43"/>
    <w:rsid w:val="00E20F6F"/>
    <w:rsid w:val="00E45B95"/>
    <w:rsid w:val="00EA2686"/>
    <w:rsid w:val="00EB3B4F"/>
    <w:rsid w:val="00EE71C5"/>
    <w:rsid w:val="00F07A74"/>
    <w:rsid w:val="00F76EB2"/>
    <w:rsid w:val="00F938D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4">
    <w:name w:val="heading 4"/>
    <w:basedOn w:val="Normalny"/>
    <w:link w:val="Nagwek4Znak"/>
    <w:uiPriority w:val="9"/>
    <w:qFormat/>
    <w:rsid w:val="000A1C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A1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3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2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8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96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7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2023-01-25T11:34:00Z</dcterms:created>
  <dcterms:modified xsi:type="dcterms:W3CDTF">2023-01-25T11:34:00Z</dcterms:modified>
</cp:coreProperties>
</file>