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08AF96D" w14:textId="722EE0FE" w:rsidR="009D2629" w:rsidRDefault="003F2B91" w:rsidP="003F2B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Syllabus</w:t>
      </w:r>
      <w:proofErr w:type="spellEnd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 the module of </w:t>
      </w:r>
      <w:proofErr w:type="spellStart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classes</w:t>
      </w:r>
      <w:proofErr w:type="spellEnd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in </w:t>
      </w:r>
      <w:proofErr w:type="spellStart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higher</w:t>
      </w:r>
      <w:proofErr w:type="spellEnd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3F2B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education</w:t>
      </w:r>
      <w:proofErr w:type="spellEnd"/>
    </w:p>
    <w:p w14:paraId="0B7A6E28" w14:textId="77777777" w:rsidR="003F2B91" w:rsidRPr="009D2629" w:rsidRDefault="003F2B91" w:rsidP="003F2B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0CA27FC8" w:rsidR="009D2629" w:rsidRPr="009D2629" w:rsidRDefault="003F2B91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F2B9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the unit responsible for the module</w:t>
            </w:r>
          </w:p>
        </w:tc>
        <w:tc>
          <w:tcPr>
            <w:tcW w:w="3107" w:type="pct"/>
            <w:shd w:val="clear" w:color="auto" w:fill="auto"/>
          </w:tcPr>
          <w:p w14:paraId="7CE571D5" w14:textId="148D6DBD" w:rsidR="009D2629" w:rsidRPr="00BD748B" w:rsidRDefault="003F2B91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B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Doctoral School of Social Sciences of the Jagiellonian University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568DE6A5" w:rsidR="009D2629" w:rsidRPr="009D2629" w:rsidRDefault="003F2B91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F2B9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Module name</w:t>
            </w:r>
          </w:p>
        </w:tc>
        <w:tc>
          <w:tcPr>
            <w:tcW w:w="3107" w:type="pct"/>
            <w:shd w:val="clear" w:color="auto" w:fill="auto"/>
          </w:tcPr>
          <w:p w14:paraId="72CF36B1" w14:textId="1CF6D763" w:rsidR="009D2629" w:rsidRPr="00BD748B" w:rsidRDefault="00163D3B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Advanced Management III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27BC773C" w:rsidR="009D2629" w:rsidRPr="009D2629" w:rsidRDefault="003F2B91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F2B9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language of education</w:t>
            </w:r>
          </w:p>
        </w:tc>
        <w:tc>
          <w:tcPr>
            <w:tcW w:w="3107" w:type="pct"/>
            <w:shd w:val="clear" w:color="auto" w:fill="auto"/>
          </w:tcPr>
          <w:p w14:paraId="06C311D9" w14:textId="5F9BD6E8" w:rsidR="009D2629" w:rsidRPr="009D2629" w:rsidRDefault="00625B2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English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3E92F5DC" w:rsidR="009D2629" w:rsidRPr="009D2629" w:rsidRDefault="003F2B91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3F2B91">
              <w:rPr>
                <w:rFonts w:ascii="Times New Roman" w:eastAsia="Calibri" w:hAnsi="Times New Roman" w:cs="Times New Roman"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B347F1" w14:textId="2396F627" w:rsidR="009D2629" w:rsidRPr="00C62EEC" w:rsidRDefault="003F2B91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The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aim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of the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course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is to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familiarize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participants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with the modern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state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of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knowledge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about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epistemology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methodology in management and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quality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sciences</w:t>
            </w:r>
            <w:proofErr w:type="spellEnd"/>
            <w:r w:rsidRPr="003F2B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62EEC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54A0153F" w:rsidR="00C62EEC" w:rsidRPr="009D2629" w:rsidRDefault="00DD1941" w:rsidP="00C6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outcomes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the module</w:t>
            </w:r>
          </w:p>
        </w:tc>
        <w:tc>
          <w:tcPr>
            <w:tcW w:w="3107" w:type="pct"/>
            <w:shd w:val="clear" w:color="auto" w:fill="auto"/>
          </w:tcPr>
          <w:p w14:paraId="0DCD7306" w14:textId="77777777" w:rsidR="00DD1941" w:rsidRPr="00DD1941" w:rsidRDefault="00DD1941" w:rsidP="00DD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Knowledge: He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knows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epistemological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methodological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directions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and problems of management,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knows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terminology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distinguish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2533F" w14:textId="77777777" w:rsidR="00DD1941" w:rsidRPr="00DD1941" w:rsidRDefault="00DD1941" w:rsidP="00DD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55DA" w14:textId="77777777" w:rsidR="00DD1941" w:rsidRPr="00DD1941" w:rsidRDefault="00DD1941" w:rsidP="00DD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epistemological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problems,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capture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processes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research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A6E59" w14:textId="77777777" w:rsidR="00DD1941" w:rsidRPr="00DD1941" w:rsidRDefault="00DD1941" w:rsidP="00DD1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7B7D1" w14:textId="02984A97" w:rsidR="00C62EEC" w:rsidRPr="0005583E" w:rsidRDefault="00DD1941" w:rsidP="00D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: Is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aware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, is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communicate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adopt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epistemological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in management and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EEC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56E09EA2" w:rsidR="00C62EEC" w:rsidRPr="009D2629" w:rsidRDefault="00DD1941" w:rsidP="00C62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Methods of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checking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evaluation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criteria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learning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outcomes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obtained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5A092A0" w14:textId="0E3DD8BC" w:rsidR="00C62EEC" w:rsidRPr="009D2629" w:rsidRDefault="00DD1941" w:rsidP="00C6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Verification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research problems in management and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EEC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55EF782C" w:rsidR="00C62EEC" w:rsidRPr="009D2629" w:rsidRDefault="00DD1941" w:rsidP="00C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Module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E461B31" w14:textId="3429D260" w:rsidR="00C62EEC" w:rsidRPr="009D2629" w:rsidRDefault="00DD1941" w:rsidP="00C62E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compulsory</w:t>
            </w:r>
            <w:proofErr w:type="spellEnd"/>
            <w:r w:rsidRPr="00DD1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D19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optional</w:t>
            </w:r>
            <w:proofErr w:type="spellEnd"/>
          </w:p>
        </w:tc>
      </w:tr>
      <w:tr w:rsidR="00C62EEC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50E6A6E5" w:rsidR="00C62EEC" w:rsidRPr="009D2629" w:rsidRDefault="00DD1941" w:rsidP="00C6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D1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4108C1D3" w14:textId="77777777" w:rsidR="00C62EEC" w:rsidRPr="009D2629" w:rsidRDefault="00C62EEC" w:rsidP="00C62E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C62EEC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2009AE1" w:rsidR="00C62EEC" w:rsidRPr="009D2629" w:rsidRDefault="00DD1941" w:rsidP="00C62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Term</w:t>
            </w:r>
          </w:p>
        </w:tc>
        <w:tc>
          <w:tcPr>
            <w:tcW w:w="3107" w:type="pct"/>
            <w:shd w:val="clear" w:color="auto" w:fill="auto"/>
          </w:tcPr>
          <w:p w14:paraId="405C4832" w14:textId="6A4C2B04" w:rsidR="00C62EEC" w:rsidRPr="009D2629" w:rsidRDefault="00DD1941" w:rsidP="00C62E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DD1941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summer</w:t>
            </w:r>
          </w:p>
        </w:tc>
      </w:tr>
      <w:tr w:rsidR="00C62EEC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2CA9F757" w:rsidR="00C62EEC" w:rsidRPr="009D2629" w:rsidRDefault="00DD1941" w:rsidP="00C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module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coordinator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/ or the person /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persons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conducting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module</w:t>
            </w:r>
          </w:p>
        </w:tc>
        <w:tc>
          <w:tcPr>
            <w:tcW w:w="3107" w:type="pct"/>
            <w:shd w:val="clear" w:color="auto" w:fill="auto"/>
          </w:tcPr>
          <w:p w14:paraId="6C368BDE" w14:textId="28C4AC75" w:rsidR="00C62EEC" w:rsidRPr="009D2629" w:rsidRDefault="00C62EEC" w:rsidP="00C6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Łukasz Sułkowski</w:t>
            </w:r>
          </w:p>
        </w:tc>
      </w:tr>
      <w:tr w:rsidR="00C62EEC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5B494324" w:rsidR="00C62EEC" w:rsidRPr="009D2629" w:rsidRDefault="00DD1941" w:rsidP="00C6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surname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person (s)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examining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examining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giving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credit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not the person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conducting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given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3107" w:type="pct"/>
            <w:shd w:val="clear" w:color="auto" w:fill="auto"/>
          </w:tcPr>
          <w:p w14:paraId="3F8A3DD3" w14:textId="67CBD22B" w:rsidR="00C62EEC" w:rsidRPr="009D2629" w:rsidRDefault="00C62EEC" w:rsidP="00C62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Łukasz Sułkowski</w:t>
            </w:r>
          </w:p>
        </w:tc>
      </w:tr>
      <w:tr w:rsidR="00C62EEC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218EDE24" w:rsidR="00C62EEC" w:rsidRPr="009D2629" w:rsidRDefault="00DD1941" w:rsidP="00C62EEC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194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Implementation method</w:t>
            </w:r>
          </w:p>
        </w:tc>
        <w:tc>
          <w:tcPr>
            <w:tcW w:w="3107" w:type="pct"/>
            <w:shd w:val="clear" w:color="auto" w:fill="auto"/>
          </w:tcPr>
          <w:p w14:paraId="728ACB5D" w14:textId="2E9B08B7" w:rsidR="00C62EEC" w:rsidRPr="00BD748B" w:rsidRDefault="00DD1941" w:rsidP="00C6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Lecture with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</w:p>
        </w:tc>
      </w:tr>
      <w:tr w:rsidR="00C62EEC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C62EEC" w:rsidRPr="009D2629" w:rsidRDefault="00C62EEC" w:rsidP="00C62E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930CD4" w14:textId="0B1E921F" w:rsidR="00C62EEC" w:rsidRPr="009D2629" w:rsidRDefault="00DD1941" w:rsidP="00C62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DD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EEC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549DF1BC" w:rsidR="00C62EEC" w:rsidRPr="009D2629" w:rsidRDefault="00DD1941" w:rsidP="00C62E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Type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hours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classes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requiring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direct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academic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teacher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students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when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such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classes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provided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in a </w:t>
            </w:r>
            <w:proofErr w:type="spellStart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>given</w:t>
            </w:r>
            <w:proofErr w:type="spellEnd"/>
            <w:r w:rsidRPr="00DD1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3107" w:type="pct"/>
            <w:shd w:val="clear" w:color="auto" w:fill="auto"/>
          </w:tcPr>
          <w:p w14:paraId="0DD1046B" w14:textId="1586026F" w:rsidR="00C62EEC" w:rsidRPr="009D2629" w:rsidRDefault="003A776E" w:rsidP="00C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</w:t>
            </w:r>
            <w:r w:rsidR="00C62EEC" w:rsidRPr="009915A6">
              <w:rPr>
                <w:rFonts w:ascii="Times New Roman" w:hAnsi="Times New Roman" w:cs="Times New Roman"/>
                <w:sz w:val="24"/>
                <w:szCs w:val="24"/>
              </w:rPr>
              <w:t xml:space="preserve"> – 30 h</w:t>
            </w:r>
          </w:p>
        </w:tc>
      </w:tr>
      <w:tr w:rsidR="00C62EEC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6B532D2E" w:rsidR="00C62EEC" w:rsidRPr="009D2629" w:rsidRDefault="003A776E" w:rsidP="00C62E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A776E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  <w:r w:rsidRPr="003A7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ECTS </w:t>
            </w:r>
            <w:proofErr w:type="spellStart"/>
            <w:r w:rsidRPr="003A776E">
              <w:rPr>
                <w:rFonts w:ascii="Times New Roman" w:eastAsia="Calibri" w:hAnsi="Times New Roman" w:cs="Times New Roman"/>
                <w:sz w:val="24"/>
                <w:szCs w:val="24"/>
              </w:rPr>
              <w:t>credits</w:t>
            </w:r>
            <w:proofErr w:type="spellEnd"/>
            <w:r w:rsidRPr="003A7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6E">
              <w:rPr>
                <w:rFonts w:ascii="Times New Roman" w:eastAsia="Calibri" w:hAnsi="Times New Roman" w:cs="Times New Roman"/>
                <w:sz w:val="24"/>
                <w:szCs w:val="24"/>
              </w:rPr>
              <w:t>assigned</w:t>
            </w:r>
            <w:proofErr w:type="spellEnd"/>
            <w:r w:rsidRPr="003A7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the module</w:t>
            </w:r>
          </w:p>
        </w:tc>
        <w:tc>
          <w:tcPr>
            <w:tcW w:w="3107" w:type="pct"/>
            <w:shd w:val="clear" w:color="auto" w:fill="auto"/>
          </w:tcPr>
          <w:p w14:paraId="2508698E" w14:textId="77777777" w:rsidR="003A776E" w:rsidRPr="003A776E" w:rsidRDefault="003A776E" w:rsidP="003A77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Please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indicate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credits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assigned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the module in the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plan.</w:t>
            </w:r>
          </w:p>
          <w:p w14:paraId="3CAA9806" w14:textId="4EC6350B" w:rsidR="00C62EEC" w:rsidRPr="009D2629" w:rsidRDefault="003A776E" w:rsidP="003A77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Attention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! The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ECTS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must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be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seen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the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balance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sheet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below</w:t>
            </w:r>
            <w:proofErr w:type="spellEnd"/>
            <w:r w:rsidRPr="003A7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62EEC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5E3E3500" w:rsidR="00C62EEC" w:rsidRPr="009D2629" w:rsidRDefault="003A776E" w:rsidP="00C62E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3A77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Balance of ECTS points</w:t>
            </w:r>
          </w:p>
        </w:tc>
        <w:tc>
          <w:tcPr>
            <w:tcW w:w="3107" w:type="pct"/>
            <w:shd w:val="clear" w:color="auto" w:fill="auto"/>
          </w:tcPr>
          <w:p w14:paraId="66FD42CA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Example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1CF82B48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7A13235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Participation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7E101F46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 - 30 h</w:t>
            </w:r>
          </w:p>
          <w:p w14:paraId="4B8CC2BB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21754F9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Student's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own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14:paraId="0423DAE2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for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- 30 h</w:t>
            </w:r>
          </w:p>
          <w:p w14:paraId="6E90BE7B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for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- 30 h</w:t>
            </w:r>
          </w:p>
          <w:p w14:paraId="41E85F3B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reading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publications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indicated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by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teacher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- 15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</w:p>
          <w:p w14:paraId="0A9A3FAA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a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- 15 h</w:t>
            </w:r>
          </w:p>
          <w:p w14:paraId="5A891F71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9882537" w14:textId="2B64507A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total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120 h = </w:t>
            </w:r>
            <w:r w:rsidR="00E52D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ECTS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points</w:t>
            </w:r>
            <w:proofErr w:type="spellEnd"/>
          </w:p>
          <w:p w14:paraId="57088FC9" w14:textId="77777777" w:rsidR="00C7255C" w:rsidRPr="00C7255C" w:rsidRDefault="00C7255C" w:rsidP="00C725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E2B576F" w14:textId="7E8105EE" w:rsidR="00C62EEC" w:rsidRPr="00BD748B" w:rsidRDefault="00C7255C" w:rsidP="00C72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One ECTS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credit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point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corresponds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the learning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outcomes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which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the student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needs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from 25-30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obtain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student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working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hours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includes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classes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carried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out in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contact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with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academic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teacher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in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accordance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with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plan, and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time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devoted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by the student to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individual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work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62EEC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CCFB537" w:rsidR="00C62EEC" w:rsidRPr="009D2629" w:rsidRDefault="00C7255C" w:rsidP="00C62E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7255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Didactic methods used</w:t>
            </w:r>
          </w:p>
        </w:tc>
        <w:tc>
          <w:tcPr>
            <w:tcW w:w="3107" w:type="pct"/>
            <w:shd w:val="clear" w:color="auto" w:fill="auto"/>
          </w:tcPr>
          <w:p w14:paraId="1E7C3579" w14:textId="4D9BE70D" w:rsidR="00C7255C" w:rsidRPr="00C7255C" w:rsidRDefault="00C7255C" w:rsidP="00C725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(problem lecture, seminar lecture),</w:t>
            </w:r>
          </w:p>
          <w:p w14:paraId="1E1C2379" w14:textId="01C9B77E" w:rsidR="00C7255C" w:rsidRPr="00C7255C" w:rsidRDefault="00C7255C" w:rsidP="00C725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activating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situational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discussion),</w:t>
            </w:r>
          </w:p>
          <w:p w14:paraId="4C9759B1" w14:textId="0051CE23" w:rsidR="00C62EEC" w:rsidRPr="00C62EEC" w:rsidRDefault="00C7255C" w:rsidP="00C7255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demonstration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  <w:proofErr w:type="spellEnd"/>
            <w:r w:rsidRPr="00C72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62EEC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363D9221" w:rsidR="00C62EEC" w:rsidRPr="009D2629" w:rsidRDefault="00C7255C" w:rsidP="00C62E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form and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conditions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completing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module,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including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rules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admission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crediting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well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 the form and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conditions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completing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individual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classes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within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scope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given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3107" w:type="pct"/>
            <w:shd w:val="clear" w:color="auto" w:fill="auto"/>
          </w:tcPr>
          <w:p w14:paraId="2AF6E6D9" w14:textId="46F6C38B" w:rsidR="00C62EEC" w:rsidRPr="009D2629" w:rsidRDefault="00C7255C" w:rsidP="00C725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>preparation</w:t>
            </w:r>
            <w:proofErr w:type="spellEnd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a </w:t>
            </w:r>
            <w:proofErr w:type="spellStart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>presentation</w:t>
            </w:r>
            <w:proofErr w:type="spellEnd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>showing</w:t>
            </w:r>
            <w:proofErr w:type="spellEnd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essence of the problem </w:t>
            </w:r>
            <w:proofErr w:type="spellStart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>related</w:t>
            </w:r>
            <w:proofErr w:type="spellEnd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the </w:t>
            </w:r>
            <w:proofErr w:type="spellStart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>content</w:t>
            </w:r>
            <w:proofErr w:type="spellEnd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C7255C">
              <w:rPr>
                <w:rFonts w:ascii="Times New Roman" w:hAnsi="Times New Roman" w:cs="Times New Roman"/>
                <w:i/>
                <w:sz w:val="24"/>
                <w:szCs w:val="24"/>
              </w:rPr>
              <w:t>course</w:t>
            </w:r>
            <w:proofErr w:type="spellEnd"/>
          </w:p>
        </w:tc>
      </w:tr>
      <w:tr w:rsidR="00C62EEC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3D4285F4" w:rsidR="00C62EEC" w:rsidRPr="00BD748B" w:rsidRDefault="00C7255C" w:rsidP="00C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Module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content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broken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down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into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class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2F9CA96B" w14:textId="5D863A46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Introduction</w:t>
            </w:r>
          </w:p>
          <w:p w14:paraId="281C4B02" w14:textId="38F313BF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Paradigms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organization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and management</w:t>
            </w:r>
          </w:p>
          <w:p w14:paraId="60765D19" w14:textId="7685362A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Assumptions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interpretative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trend</w:t>
            </w:r>
          </w:p>
          <w:p w14:paraId="37DE6BF6" w14:textId="7F8FE76C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Organization as a social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consensus</w:t>
            </w:r>
            <w:proofErr w:type="spellEnd"/>
          </w:p>
          <w:p w14:paraId="6AE09B13" w14:textId="065BE1E8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Management as a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symbolic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activity</w:t>
            </w:r>
            <w:proofErr w:type="spellEnd"/>
          </w:p>
          <w:p w14:paraId="45AA1885" w14:textId="3955A805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Interpretative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methodology</w:t>
            </w:r>
          </w:p>
          <w:p w14:paraId="297B8075" w14:textId="0C662398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Organizational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anthropology</w:t>
            </w:r>
            <w:proofErr w:type="spellEnd"/>
          </w:p>
          <w:p w14:paraId="01FBCFB1" w14:textId="7F4B8782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Conversational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analysis and</w:t>
            </w:r>
          </w:p>
          <w:p w14:paraId="345B5BD8" w14:textId="77777777" w:rsidR="00C7255C" w:rsidRPr="00C7255C" w:rsidRDefault="00C7255C" w:rsidP="00C7255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discourse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analysis</w:t>
            </w:r>
          </w:p>
          <w:p w14:paraId="2FDF3D32" w14:textId="4BB1F972" w:rsidR="00C7255C" w:rsidRPr="00C7255C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interpretative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research</w:t>
            </w:r>
          </w:p>
          <w:p w14:paraId="28126DE4" w14:textId="20641B15" w:rsidR="00696EFA" w:rsidRPr="00696EFA" w:rsidRDefault="00C7255C" w:rsidP="00C725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Criticism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interpretative</w:t>
            </w:r>
            <w:proofErr w:type="spellEnd"/>
            <w:r w:rsidRPr="00C725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methodology</w:t>
            </w:r>
          </w:p>
        </w:tc>
      </w:tr>
      <w:tr w:rsidR="00C62EEC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15F6A767" w:rsidR="00C62EEC" w:rsidRPr="009D2629" w:rsidRDefault="00C7255C" w:rsidP="00C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List of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basic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supplementary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literature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required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complete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>given</w:t>
            </w:r>
            <w:proofErr w:type="spellEnd"/>
            <w:r w:rsidRPr="00C72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module</w:t>
            </w:r>
          </w:p>
        </w:tc>
        <w:tc>
          <w:tcPr>
            <w:tcW w:w="3107" w:type="pct"/>
            <w:shd w:val="clear" w:color="auto" w:fill="auto"/>
          </w:tcPr>
          <w:p w14:paraId="06DBB9CD" w14:textId="77777777" w:rsidR="00C7255C" w:rsidRDefault="00C7255C" w:rsidP="00C7255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Basic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literature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compulsory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all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students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);</w:t>
            </w:r>
            <w:r w:rsidR="00696EFA"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Sułkowski, </w:t>
            </w:r>
          </w:p>
          <w:p w14:paraId="0D2EB93D" w14:textId="77777777" w:rsidR="00C7255C" w:rsidRDefault="00C7255C" w:rsidP="00C7255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4EBA9C4" w14:textId="3673A286" w:rsidR="00696EFA" w:rsidRPr="00C7255C" w:rsidRDefault="00696EFA" w:rsidP="00C7255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Ł. (2015). Epistemologia zarządzania humanistycznego. </w:t>
            </w:r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Sprawniejsze państwo, ed. </w:t>
            </w:r>
            <w:proofErr w:type="spellStart"/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Kierżun</w:t>
            </w:r>
            <w:proofErr w:type="spellEnd"/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W., </w:t>
            </w:r>
            <w:proofErr w:type="spellStart"/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Poltext</w:t>
            </w:r>
            <w:proofErr w:type="spellEnd"/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Warsaw</w:t>
            </w:r>
            <w:proofErr w:type="spellEnd"/>
            <w:r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193-207.</w:t>
            </w:r>
          </w:p>
          <w:p w14:paraId="05889E6A" w14:textId="41854D63" w:rsidR="00696EFA" w:rsidRPr="00CB472B" w:rsidRDefault="00696EFA" w:rsidP="00696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Sułkowski, Ł. (2016). Teorie, paradygmaty, metafory i ideologie zarządzania–kontrowersje wokół współczesnego dyskursu organizacji i zarządzania.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Prace Naukowe Uniwersytetu Ekonomicznego we Wrocławiu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(422), 131-143.</w:t>
            </w:r>
          </w:p>
          <w:p w14:paraId="31F6A057" w14:textId="57A49432" w:rsidR="00CB472B" w:rsidRPr="00696EFA" w:rsidRDefault="00CB472B" w:rsidP="00696EF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Danayeefard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H. (2020).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paradigms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the science of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and management: 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comparative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approach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ontology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epistemology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and methodology.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Commercial Strategies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(26), 89-104.</w:t>
            </w:r>
          </w:p>
          <w:p w14:paraId="00383D71" w14:textId="77777777" w:rsidR="00C7255C" w:rsidRDefault="00C7255C" w:rsidP="00C72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Supplementary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literature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additional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students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who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want to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expand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their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knowledge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topics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covered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within</w:t>
            </w:r>
            <w:proofErr w:type="spellEnd"/>
            <w:r w:rsidRPr="00C72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the module)</w:t>
            </w:r>
          </w:p>
          <w:p w14:paraId="11411347" w14:textId="77777777" w:rsidR="00C7255C" w:rsidRDefault="00C7255C" w:rsidP="00C7255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pacing w:val="2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4AD85F" w14:textId="0899D9B1" w:rsidR="00CB472B" w:rsidRPr="00C7255C" w:rsidRDefault="00CB472B" w:rsidP="00C7255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Chmielecki, M., &amp; Sułkowski, Ł. (2015). Problematyka zaufania w negocjacjach międzykulturowych w obliczu metafory </w:t>
            </w:r>
            <w:proofErr w:type="spellStart"/>
            <w:r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konceptualnej-studium</w:t>
            </w:r>
            <w:proofErr w:type="spellEnd"/>
            <w:r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komparatywne. </w:t>
            </w:r>
            <w:r w:rsidRPr="00C7255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Organizacja i Kierowanie</w:t>
            </w:r>
            <w:r w:rsidRPr="00C7255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(1), 27-40.</w:t>
            </w:r>
          </w:p>
          <w:p w14:paraId="51CEB778" w14:textId="77777777" w:rsidR="00C62EEC" w:rsidRPr="009D2629" w:rsidRDefault="00C62EEC" w:rsidP="00C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B2487CD" w14:textId="01C052A3" w:rsidR="00C62EEC" w:rsidRPr="009D2629" w:rsidRDefault="00C62EEC" w:rsidP="00C62E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74E0" w14:textId="77777777" w:rsidR="00955870" w:rsidRDefault="00955870" w:rsidP="009D2629">
      <w:pPr>
        <w:spacing w:after="0" w:line="240" w:lineRule="auto"/>
      </w:pPr>
      <w:r>
        <w:separator/>
      </w:r>
    </w:p>
  </w:endnote>
  <w:endnote w:type="continuationSeparator" w:id="0">
    <w:p w14:paraId="45504910" w14:textId="77777777" w:rsidR="00955870" w:rsidRDefault="00955870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D1DB" w14:textId="77777777" w:rsidR="00955870" w:rsidRDefault="00955870" w:rsidP="009D2629">
      <w:pPr>
        <w:spacing w:after="0" w:line="240" w:lineRule="auto"/>
      </w:pPr>
      <w:r>
        <w:separator/>
      </w:r>
    </w:p>
  </w:footnote>
  <w:footnote w:type="continuationSeparator" w:id="0">
    <w:p w14:paraId="33CB306B" w14:textId="77777777" w:rsidR="00955870" w:rsidRDefault="00955870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F3"/>
    <w:multiLevelType w:val="hybridMultilevel"/>
    <w:tmpl w:val="DDD6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6DD"/>
    <w:multiLevelType w:val="hybridMultilevel"/>
    <w:tmpl w:val="80F6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C3C"/>
    <w:multiLevelType w:val="hybridMultilevel"/>
    <w:tmpl w:val="92043AF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0DB8"/>
    <w:multiLevelType w:val="hybridMultilevel"/>
    <w:tmpl w:val="0B1C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0074"/>
    <w:multiLevelType w:val="hybridMultilevel"/>
    <w:tmpl w:val="217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26A36"/>
    <w:multiLevelType w:val="hybridMultilevel"/>
    <w:tmpl w:val="D778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420352">
    <w:abstractNumId w:val="3"/>
  </w:num>
  <w:num w:numId="2" w16cid:durableId="1570654266">
    <w:abstractNumId w:val="5"/>
  </w:num>
  <w:num w:numId="3" w16cid:durableId="590243088">
    <w:abstractNumId w:val="2"/>
  </w:num>
  <w:num w:numId="4" w16cid:durableId="1892423452">
    <w:abstractNumId w:val="8"/>
  </w:num>
  <w:num w:numId="5" w16cid:durableId="454524275">
    <w:abstractNumId w:val="7"/>
  </w:num>
  <w:num w:numId="6" w16cid:durableId="317615920">
    <w:abstractNumId w:val="1"/>
  </w:num>
  <w:num w:numId="7" w16cid:durableId="49765932">
    <w:abstractNumId w:val="6"/>
  </w:num>
  <w:num w:numId="8" w16cid:durableId="933977669">
    <w:abstractNumId w:val="4"/>
  </w:num>
  <w:num w:numId="9" w16cid:durableId="18136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5583E"/>
    <w:rsid w:val="000D67C5"/>
    <w:rsid w:val="000F2145"/>
    <w:rsid w:val="001324E4"/>
    <w:rsid w:val="00155BF1"/>
    <w:rsid w:val="00163D3B"/>
    <w:rsid w:val="001C313B"/>
    <w:rsid w:val="001D1A86"/>
    <w:rsid w:val="001E6848"/>
    <w:rsid w:val="001F334D"/>
    <w:rsid w:val="00253F99"/>
    <w:rsid w:val="00267253"/>
    <w:rsid w:val="002D6077"/>
    <w:rsid w:val="003440B3"/>
    <w:rsid w:val="00366D8E"/>
    <w:rsid w:val="00374F47"/>
    <w:rsid w:val="003A776E"/>
    <w:rsid w:val="003D7F42"/>
    <w:rsid w:val="003F2B91"/>
    <w:rsid w:val="00423876"/>
    <w:rsid w:val="00524E67"/>
    <w:rsid w:val="00573862"/>
    <w:rsid w:val="005D7775"/>
    <w:rsid w:val="00625B2C"/>
    <w:rsid w:val="00696EFA"/>
    <w:rsid w:val="006E5CC8"/>
    <w:rsid w:val="00955870"/>
    <w:rsid w:val="009B55CC"/>
    <w:rsid w:val="009D2629"/>
    <w:rsid w:val="00A4122B"/>
    <w:rsid w:val="00AE5DBB"/>
    <w:rsid w:val="00BB54BE"/>
    <w:rsid w:val="00BD748B"/>
    <w:rsid w:val="00C62EEC"/>
    <w:rsid w:val="00C7255C"/>
    <w:rsid w:val="00CA79E8"/>
    <w:rsid w:val="00CB472B"/>
    <w:rsid w:val="00CF19D1"/>
    <w:rsid w:val="00DC0BDE"/>
    <w:rsid w:val="00DD1941"/>
    <w:rsid w:val="00E52DAC"/>
    <w:rsid w:val="00E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39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2023-01-25T09:35:00Z</dcterms:created>
  <dcterms:modified xsi:type="dcterms:W3CDTF">2023-01-25T09:35:00Z</dcterms:modified>
</cp:coreProperties>
</file>