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0C60CB" w:rsidRPr="000C60CB" w14:paraId="428C6E0A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64B1E828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1824458A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b/>
                <w:i/>
                <w:lang w:val="en-GB"/>
              </w:rPr>
              <w:t>Doctoral School of Social Sciences</w:t>
            </w:r>
          </w:p>
        </w:tc>
      </w:tr>
      <w:tr w:rsidR="000C60CB" w:rsidRPr="000C60CB" w14:paraId="59DA3C47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2066443C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0E547A08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 w:eastAsia="pl-PL"/>
              </w:rPr>
              <w:t xml:space="preserve">From National to Post-National: the Concept of Citizenship </w:t>
            </w:r>
          </w:p>
        </w:tc>
      </w:tr>
      <w:tr w:rsidR="000C60CB" w:rsidRPr="000C60CB" w14:paraId="4FC3300F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2447528D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Language of education</w:t>
            </w:r>
          </w:p>
        </w:tc>
        <w:tc>
          <w:tcPr>
            <w:tcW w:w="3107" w:type="pct"/>
            <w:shd w:val="clear" w:color="auto" w:fill="auto"/>
          </w:tcPr>
          <w:p w14:paraId="5F36AE22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lang w:val="en-GB"/>
              </w:rPr>
              <w:t>English</w:t>
            </w:r>
          </w:p>
        </w:tc>
      </w:tr>
      <w:tr w:rsidR="000C60CB" w:rsidRPr="000C60CB" w14:paraId="231331DA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0E1783E6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372BB6DE" w14:textId="19EE4442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 xml:space="preserve">As a result of the  course participation, students become familiar with the </w:t>
            </w:r>
            <w:r>
              <w:rPr>
                <w:rFonts w:ascii="Times New Roman" w:eastAsia="Calibri" w:hAnsi="Times New Roman" w:cs="Times New Roman"/>
                <w:lang w:val="en-US"/>
              </w:rPr>
              <w:t>concepts</w:t>
            </w:r>
            <w:r w:rsidRPr="000C60CB">
              <w:rPr>
                <w:rFonts w:ascii="Times New Roman" w:eastAsia="Calibri" w:hAnsi="Times New Roman" w:cs="Times New Roman"/>
                <w:lang w:val="en-US"/>
              </w:rPr>
              <w:t xml:space="preserve"> of nationality and citizenship – their classical (modern) and post-modern versions – and can apply them to the contemporary social practice. </w:t>
            </w:r>
          </w:p>
        </w:tc>
      </w:tr>
      <w:tr w:rsidR="000C60CB" w:rsidRPr="000C60CB" w14:paraId="27D963D5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326C2B73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7ACB978A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 xml:space="preserve">Knowledge: Students understand the notions of nationality and citizenship, their traditions, different versions and connections between them. They use these concepts in different historical contexts. </w:t>
            </w:r>
          </w:p>
          <w:p w14:paraId="6F81953F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>Abilities: students understand and evaluate a position of a citizen in a contemporary society; they see its variations dependent on local contexts and different traditions. They grasp the post-modern transformations of the meaning of citizenship, and are able to identify them within a society.</w:t>
            </w:r>
          </w:p>
          <w:p w14:paraId="59478580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 xml:space="preserve">Social competences: Students analyze different citizenship regimes, they are able to refer them to the concepts of nations and nationality. Students can apply the theoretical concepts discussed in class to empirical contexts. </w:t>
            </w:r>
          </w:p>
        </w:tc>
      </w:tr>
      <w:tr w:rsidR="000C60CB" w:rsidRPr="000C60CB" w14:paraId="3A0E0763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59D79E2C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of learning outcomes obtained by students</w:t>
            </w:r>
          </w:p>
        </w:tc>
        <w:tc>
          <w:tcPr>
            <w:tcW w:w="3107" w:type="pct"/>
            <w:shd w:val="clear" w:color="auto" w:fill="auto"/>
          </w:tcPr>
          <w:p w14:paraId="3FDBD5E0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iCs/>
                <w:lang w:val="en-US"/>
              </w:rPr>
              <w:t>An oral presentation focused on empirical implementation of the issues discussed in class</w:t>
            </w:r>
          </w:p>
          <w:p w14:paraId="6FA8CEAF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en-US"/>
              </w:rPr>
            </w:pPr>
          </w:p>
        </w:tc>
      </w:tr>
      <w:tr w:rsidR="000C60CB" w:rsidRPr="000C60CB" w14:paraId="46AF55AB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473E2586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3632673D" w14:textId="744A1E9D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O</w:t>
            </w:r>
            <w:r w:rsidRPr="000C60CB">
              <w:rPr>
                <w:rFonts w:ascii="Times New Roman" w:eastAsia="Calibri" w:hAnsi="Times New Roman" w:cs="Times New Roman"/>
                <w:iCs/>
              </w:rPr>
              <w:t>ptional</w:t>
            </w:r>
            <w:proofErr w:type="spellEnd"/>
          </w:p>
        </w:tc>
      </w:tr>
      <w:tr w:rsidR="000C60CB" w:rsidRPr="000C60CB" w14:paraId="79B97449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4F76580A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0A1C4616" w14:textId="00F576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lang w:val="en-GB"/>
              </w:rPr>
              <w:t>A</w:t>
            </w:r>
            <w:r w:rsidRPr="000C60CB">
              <w:rPr>
                <w:rFonts w:ascii="Times New Roman" w:eastAsia="Calibri" w:hAnsi="Times New Roman" w:cs="Times New Roman"/>
                <w:iCs/>
                <w:lang w:val="en-GB"/>
              </w:rPr>
              <w:t>ll</w:t>
            </w:r>
            <w:r>
              <w:rPr>
                <w:rFonts w:ascii="Times New Roman" w:eastAsia="Calibri" w:hAnsi="Times New Roman" w:cs="Times New Roman"/>
                <w:iCs/>
                <w:lang w:val="en-GB"/>
              </w:rPr>
              <w:t xml:space="preserve"> years</w:t>
            </w:r>
          </w:p>
        </w:tc>
      </w:tr>
      <w:tr w:rsidR="000C60CB" w:rsidRPr="000C60CB" w14:paraId="1A5D8145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5AAEFA7F" w14:textId="77777777" w:rsidR="000C60CB" w:rsidRPr="000C60CB" w:rsidRDefault="000C60CB" w:rsidP="000C60CB">
            <w:pPr>
              <w:tabs>
                <w:tab w:val="center" w:pos="165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Semester </w:t>
            </w: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05CCBC39" w14:textId="1B270AB0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lang w:val="en-GB"/>
              </w:rPr>
              <w:t>S</w:t>
            </w:r>
            <w:r w:rsidRPr="000C60CB">
              <w:rPr>
                <w:rFonts w:ascii="Times New Roman" w:eastAsia="Calibri" w:hAnsi="Times New Roman" w:cs="Times New Roman"/>
                <w:iCs/>
                <w:lang w:val="en-GB"/>
              </w:rPr>
              <w:t>ummer</w:t>
            </w:r>
            <w:r>
              <w:rPr>
                <w:rFonts w:ascii="Times New Roman" w:eastAsia="Calibri" w:hAnsi="Times New Roman" w:cs="Times New Roman"/>
                <w:iCs/>
                <w:lang w:val="en-GB"/>
              </w:rPr>
              <w:t xml:space="preserve"> semester</w:t>
            </w:r>
          </w:p>
        </w:tc>
      </w:tr>
      <w:tr w:rsidR="000C60CB" w:rsidRPr="000C60CB" w14:paraId="7E395E63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1034EE24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59A085C9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>Daria Łucka</w:t>
            </w:r>
          </w:p>
        </w:tc>
      </w:tr>
      <w:tr w:rsidR="000C60CB" w:rsidRPr="000C60CB" w14:paraId="47016488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79E6EB28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sposóis</w:t>
            </w:r>
            <w:proofErr w:type="spellEnd"/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2AD84CA7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C60CB" w:rsidRPr="000C60CB" w14:paraId="7A3BF940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1B7A8249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completion  </w:t>
            </w:r>
          </w:p>
        </w:tc>
        <w:tc>
          <w:tcPr>
            <w:tcW w:w="3107" w:type="pct"/>
            <w:shd w:val="clear" w:color="auto" w:fill="auto"/>
          </w:tcPr>
          <w:p w14:paraId="45E4EBEF" w14:textId="618303DE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pl-PL"/>
              </w:rPr>
              <w:t>S</w:t>
            </w:r>
            <w:r w:rsidRPr="000C60CB">
              <w:rPr>
                <w:rFonts w:ascii="Times New Roman" w:eastAsia="Times New Roman" w:hAnsi="Times New Roman" w:cs="Times New Roman"/>
                <w:color w:val="000000"/>
                <w:spacing w:val="-8"/>
                <w:lang w:eastAsia="pl-PL"/>
              </w:rPr>
              <w:t xml:space="preserve">eminar </w:t>
            </w:r>
          </w:p>
        </w:tc>
      </w:tr>
      <w:tr w:rsidR="000C60CB" w:rsidRPr="000C60CB" w14:paraId="5029C491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69D60CC0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53B40F5F" w14:textId="5DB2DCAE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N</w:t>
            </w:r>
            <w:r w:rsidRPr="000C60CB">
              <w:rPr>
                <w:rFonts w:ascii="Times New Roman" w:eastAsia="Calibri" w:hAnsi="Times New Roman" w:cs="Times New Roman"/>
              </w:rPr>
              <w:t>one</w:t>
            </w:r>
            <w:proofErr w:type="spellEnd"/>
          </w:p>
          <w:p w14:paraId="3DBE7F63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C60CB" w:rsidRPr="000C60CB" w14:paraId="0BAD52A4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6D66D314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 of hours of courses requiring</w:t>
            </w:r>
          </w:p>
          <w:p w14:paraId="1CBC8F64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08D5C32D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>30 hours of seminar</w:t>
            </w:r>
          </w:p>
        </w:tc>
      </w:tr>
      <w:tr w:rsidR="000C60CB" w:rsidRPr="000C60CB" w14:paraId="1147DD4D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13482763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Number of ECTS credits assigned to a component </w:t>
            </w:r>
          </w:p>
        </w:tc>
        <w:tc>
          <w:tcPr>
            <w:tcW w:w="3107" w:type="pct"/>
            <w:shd w:val="clear" w:color="auto" w:fill="auto"/>
          </w:tcPr>
          <w:p w14:paraId="521BB138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C60CB">
              <w:rPr>
                <w:rFonts w:ascii="Times New Roman" w:eastAsia="Calibri" w:hAnsi="Times New Roman" w:cs="Times New Roman"/>
                <w:iCs/>
              </w:rPr>
              <w:t>3</w:t>
            </w:r>
          </w:p>
          <w:p w14:paraId="0B6A8A4A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0C60CB" w:rsidRPr="000C60CB" w14:paraId="2ABF9CEC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0D019117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1027E917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iCs/>
                <w:lang w:val="en-US"/>
              </w:rPr>
              <w:t>Participation in classes: 30 hours</w:t>
            </w:r>
          </w:p>
          <w:p w14:paraId="6625C0A4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iCs/>
                <w:lang w:val="en-US"/>
              </w:rPr>
              <w:t>Preparation for classes: 40 hours</w:t>
            </w:r>
          </w:p>
          <w:p w14:paraId="515C30A3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iCs/>
                <w:lang w:val="en-US"/>
              </w:rPr>
              <w:t>Preparation of presentation: 20 hours</w:t>
            </w:r>
          </w:p>
          <w:p w14:paraId="58C2CDFB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</w:p>
          <w:p w14:paraId="4464FE2F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</w:p>
          <w:p w14:paraId="71782F68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0C60CB" w:rsidRPr="000C60CB" w14:paraId="0D1E111B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13F3D231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Applied teaching methods</w:t>
            </w:r>
          </w:p>
        </w:tc>
        <w:tc>
          <w:tcPr>
            <w:tcW w:w="3107" w:type="pct"/>
            <w:shd w:val="clear" w:color="auto" w:fill="auto"/>
          </w:tcPr>
          <w:p w14:paraId="0BD36E15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iCs/>
                <w:lang w:val="en-US"/>
              </w:rPr>
              <w:t>In-class discussion with elements of lecture</w:t>
            </w:r>
          </w:p>
          <w:p w14:paraId="4932CBA8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</w:p>
          <w:p w14:paraId="3CBBD66E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lang w:val="en-US"/>
              </w:rPr>
            </w:pPr>
          </w:p>
        </w:tc>
      </w:tr>
      <w:tr w:rsidR="000C60CB" w:rsidRPr="000C60CB" w14:paraId="6CB36D28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5582F5CD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1C1C8DC5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>- active preparation for class (reading the required texts)</w:t>
            </w:r>
          </w:p>
          <w:p w14:paraId="0E777F4F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>- presence and active participation in class</w:t>
            </w:r>
          </w:p>
          <w:p w14:paraId="195BAAC8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 xml:space="preserve">- preparing an oral presentation </w:t>
            </w:r>
          </w:p>
        </w:tc>
      </w:tr>
      <w:tr w:rsidR="000C60CB" w:rsidRPr="000C60CB" w14:paraId="5BF38F9D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3A6F81B5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Content of an educational module (with division into forms of courses completion)</w:t>
            </w:r>
          </w:p>
        </w:tc>
        <w:tc>
          <w:tcPr>
            <w:tcW w:w="3107" w:type="pct"/>
            <w:shd w:val="clear" w:color="auto" w:fill="auto"/>
          </w:tcPr>
          <w:p w14:paraId="62CFBF10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>Pre-modern citizenship</w:t>
            </w:r>
          </w:p>
          <w:p w14:paraId="56E1BF7F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>Classical concept of citizenship: different traditions</w:t>
            </w:r>
          </w:p>
          <w:p w14:paraId="2D7C608D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 xml:space="preserve">Nation and national state: variety of approaches </w:t>
            </w:r>
          </w:p>
          <w:p w14:paraId="1790CCE7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>Nationality and citizenship: connections</w:t>
            </w:r>
          </w:p>
          <w:p w14:paraId="29117EEE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>Ethnic vs civic: citizenship regimes</w:t>
            </w:r>
          </w:p>
          <w:p w14:paraId="1F3F2F1A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 xml:space="preserve">“Fuzzing” citizenship: status law </w:t>
            </w:r>
          </w:p>
          <w:p w14:paraId="55FECC97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>New challenges: spheres of citizenship</w:t>
            </w:r>
          </w:p>
          <w:p w14:paraId="2AFB9606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>Post-national, cosmopolitan and transnational citizenship</w:t>
            </w:r>
          </w:p>
          <w:p w14:paraId="10B71D81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C60CB" w:rsidRPr="000C60CB" w14:paraId="46FA2D94" w14:textId="77777777" w:rsidTr="00D544B7">
        <w:trPr>
          <w:trHeight w:val="283"/>
        </w:trPr>
        <w:tc>
          <w:tcPr>
            <w:tcW w:w="1893" w:type="pct"/>
            <w:shd w:val="clear" w:color="auto" w:fill="auto"/>
          </w:tcPr>
          <w:p w14:paraId="29D96B41" w14:textId="77777777" w:rsidR="000C60CB" w:rsidRPr="000C60CB" w:rsidRDefault="000C60CB" w:rsidP="000C6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List of basic as well as supplementary literature,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14F461B3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pl-PL"/>
              </w:rPr>
            </w:pPr>
            <w:r w:rsidRPr="000C60CB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pl-PL"/>
              </w:rPr>
              <w:t>Obligatory literature:</w:t>
            </w:r>
          </w:p>
          <w:p w14:paraId="7E54D5A2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0C60CB">
              <w:rPr>
                <w:rFonts w:ascii="Times New Roman" w:eastAsia="Calibri" w:hAnsi="Times New Roman" w:cs="Times New Roman"/>
                <w:iCs/>
                <w:lang w:val="en-GB"/>
              </w:rPr>
              <w:t>Bauböck</w:t>
            </w:r>
            <w:proofErr w:type="spellEnd"/>
            <w:r w:rsidRPr="000C60CB">
              <w:rPr>
                <w:rFonts w:ascii="Times New Roman" w:eastAsia="Calibri" w:hAnsi="Times New Roman" w:cs="Times New Roman"/>
                <w:iCs/>
                <w:lang w:val="en-GB"/>
              </w:rPr>
              <w:t xml:space="preserve">, R. (2007). Stakeholder Citizenship and Transnational Political Participation: A Normative Evaluation of External Voting. </w:t>
            </w:r>
            <w:r w:rsidRPr="000C60CB">
              <w:rPr>
                <w:rFonts w:ascii="Times New Roman" w:eastAsia="Calibri" w:hAnsi="Times New Roman" w:cs="Times New Roman"/>
                <w:i/>
                <w:iCs/>
                <w:lang w:val="en-GB"/>
              </w:rPr>
              <w:t>Fordham Law Review</w:t>
            </w:r>
            <w:r w:rsidRPr="000C60CB">
              <w:rPr>
                <w:rFonts w:ascii="Times New Roman" w:eastAsia="Calibri" w:hAnsi="Times New Roman" w:cs="Times New Roman"/>
                <w:iCs/>
                <w:lang w:val="en-GB"/>
              </w:rPr>
              <w:t xml:space="preserve"> 75 (5): 2393-2447.</w:t>
            </w:r>
          </w:p>
          <w:p w14:paraId="17949E3E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Bauböck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, R., </w:t>
            </w:r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Perchinig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, B., Sievers, W. (eds.) (2009) Citizenship Policies in the New Europe, IMISCOE Research, Amsterdam University Press. </w:t>
            </w:r>
          </w:p>
          <w:p w14:paraId="3B8763B3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Bosniak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, L. (2000). Citizenship Denationalized. </w:t>
            </w:r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>Indiana Journal of Global Legal Studies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>7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(2): 447–509.</w:t>
            </w:r>
          </w:p>
          <w:p w14:paraId="5408A630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lang w:val="en-GB"/>
              </w:rPr>
              <w:lastRenderedPageBreak/>
              <w:t>Brubaker, R. (2000). Accidental Diasporas and External ‘Homelands’ in: Central and Eastern Europe: Past and Present. Institute for Advanced Studies, Vienna, Political Science Series 71: 1-19.</w:t>
            </w:r>
          </w:p>
          <w:p w14:paraId="6ADC694F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Blank, Y. (2007). Spheres of Citizenship. </w:t>
            </w:r>
            <w:r w:rsidRPr="000C60CB">
              <w:rPr>
                <w:rFonts w:ascii="Times New Roman" w:eastAsia="Calibri" w:hAnsi="Times New Roman" w:cs="Times New Roman"/>
                <w:i/>
                <w:iCs/>
                <w:lang w:val="en-GB"/>
              </w:rPr>
              <w:t>Theoretical Inquires in Law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8.2: 411-452. </w:t>
            </w:r>
          </w:p>
          <w:p w14:paraId="24C0EECB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lang w:val="en-US"/>
              </w:rPr>
              <w:t xml:space="preserve">Castles, S. (2005). Nation and Empire: Hierarchies of Citizenship in the New Global Order. </w:t>
            </w:r>
            <w:r w:rsidRPr="000C60CB">
              <w:rPr>
                <w:rFonts w:ascii="Times New Roman" w:eastAsia="Calibri" w:hAnsi="Times New Roman" w:cs="Times New Roman"/>
                <w:i/>
                <w:lang w:val="en-US"/>
              </w:rPr>
              <w:t>International Politics</w:t>
            </w:r>
            <w:r w:rsidRPr="000C60C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C60CB">
              <w:rPr>
                <w:rFonts w:ascii="Times New Roman" w:eastAsia="Calibri" w:hAnsi="Times New Roman" w:cs="Times New Roman"/>
                <w:iCs/>
                <w:lang w:val="en-US"/>
              </w:rPr>
              <w:t>42</w:t>
            </w:r>
            <w:r w:rsidRPr="000C60CB">
              <w:rPr>
                <w:rFonts w:ascii="Times New Roman" w:eastAsia="Calibri" w:hAnsi="Times New Roman" w:cs="Times New Roman"/>
                <w:lang w:val="en-US"/>
              </w:rPr>
              <w:t>: 203–224.</w:t>
            </w:r>
          </w:p>
          <w:p w14:paraId="18959539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 xml:space="preserve">Fowler, B. (2004). Fuzzing Citizenship, Nationalising Political Space: a Framework for Interpreting the Hungarian ‘Status Law’ as a New Form of Kin-State Policy in Central and Eastern Europe, in Z. </w:t>
            </w:r>
            <w:proofErr w:type="spellStart"/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>Kántor</w:t>
            </w:r>
            <w:proofErr w:type="spellEnd"/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 xml:space="preserve"> et al. (eds), </w:t>
            </w:r>
            <w:r w:rsidRPr="000C60CB">
              <w:rPr>
                <w:rFonts w:ascii="Times New Roman" w:eastAsia="Calibri" w:hAnsi="Times New Roman" w:cs="Times New Roman"/>
                <w:bCs/>
                <w:i/>
                <w:lang w:val="en-US"/>
              </w:rPr>
              <w:t>The Hungarian Status Law: Nation Building and /or Minority Protection</w:t>
            </w:r>
            <w:r w:rsidRPr="000C60CB">
              <w:rPr>
                <w:rFonts w:ascii="Times New Roman" w:eastAsia="Calibri" w:hAnsi="Times New Roman" w:cs="Times New Roman"/>
                <w:bCs/>
                <w:lang w:val="en-US"/>
              </w:rPr>
              <w:t xml:space="preserve">, Sapporo, Slavic Research Center, Hokkaido University: </w:t>
            </w:r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>177-238</w:t>
            </w:r>
            <w:r w:rsidRPr="000C60CB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  <w:p w14:paraId="3D8A7D61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proofErr w:type="spellStart"/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>Groenedijk</w:t>
            </w:r>
            <w:proofErr w:type="spellEnd"/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 xml:space="preserve">, K. (2006). The Status of Quasi-Citizenship in EU Member States: Why Some States Have ‘Almost Citizens’, in R. </w:t>
            </w:r>
            <w:proofErr w:type="spellStart"/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>Bauböck</w:t>
            </w:r>
            <w:proofErr w:type="spellEnd"/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 xml:space="preserve"> et al. (eds) </w:t>
            </w:r>
            <w:r w:rsidRPr="000C60CB">
              <w:rPr>
                <w:rFonts w:ascii="Times New Roman" w:eastAsia="Calibri" w:hAnsi="Times New Roman" w:cs="Times New Roman"/>
                <w:bCs/>
                <w:i/>
                <w:lang w:val="en-GB"/>
              </w:rPr>
              <w:t>Acquisition and Loss of Nationality. Volume 1: Comparative Analyses: Policies and Trends in 15 European Countries</w:t>
            </w:r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>, Amsterdam, Amsterdam University Press: 411-430.</w:t>
            </w:r>
          </w:p>
          <w:p w14:paraId="04F8CBA2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Kuzio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, T. (2002). The Myth of the Civic State: a Critical Survey of Hans Kohn’s Framework for Understanding Nationalism. </w:t>
            </w:r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>Ethnic and Racial Studies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25(1): 20-29. </w:t>
            </w:r>
          </w:p>
          <w:p w14:paraId="57A8ADB6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Joppke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, Ch. (2003). Citizenship between De- and Re-Ethnicization. </w:t>
            </w:r>
            <w:r w:rsidRPr="000C60CB">
              <w:rPr>
                <w:rFonts w:ascii="Times New Roman" w:eastAsia="Calibri" w:hAnsi="Times New Roman" w:cs="Times New Roman"/>
                <w:i/>
                <w:iCs/>
                <w:lang w:val="en-GB"/>
              </w:rPr>
              <w:t>European Journal of Sociology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44 (3): 429-458.</w:t>
            </w:r>
          </w:p>
          <w:p w14:paraId="7D1D113B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Linklater, A. (2002). Cosmopolitan Citizenship, </w:t>
            </w:r>
            <w:bookmarkStart w:id="0" w:name="_Hlk68624987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in E.F. </w:t>
            </w:r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Isin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, B.S. Turner (eds) </w:t>
            </w:r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 xml:space="preserve">Handbook of Citizenship Studies, 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>London, Sage: 317-332.</w:t>
            </w:r>
            <w:bookmarkEnd w:id="0"/>
          </w:p>
          <w:p w14:paraId="5F2AF6C6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Nielsen, K. (1996). Cultural Nationalism, neither Ethnic nor Civic. </w:t>
            </w:r>
            <w:r w:rsidRPr="000C60CB">
              <w:rPr>
                <w:rFonts w:ascii="Times New Roman" w:eastAsia="Calibri" w:hAnsi="Times New Roman" w:cs="Times New Roman"/>
                <w:i/>
                <w:iCs/>
                <w:lang w:val="en-GB"/>
              </w:rPr>
              <w:t xml:space="preserve">The Philosophical Forum: A Quarterly 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>28/1-2: 42-52.</w:t>
            </w:r>
          </w:p>
          <w:p w14:paraId="0E49EAF7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0C60CB">
              <w:rPr>
                <w:rFonts w:ascii="Times New Roman" w:eastAsia="Calibri" w:hAnsi="Times New Roman" w:cs="Times New Roman"/>
                <w:lang w:val="en-US"/>
              </w:rPr>
              <w:t>Sassen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US"/>
              </w:rPr>
              <w:t xml:space="preserve">, S. (2002). 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Towards Post-National and Denationalized Citizenship, </w:t>
            </w:r>
            <w:bookmarkStart w:id="1" w:name="_Hlk68973960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in E.F. </w:t>
            </w:r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Isin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, B.S. Turner (eds) </w:t>
            </w:r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 xml:space="preserve">Handbook of Citizenship Studies, 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London, Sage: </w:t>
            </w:r>
            <w:bookmarkEnd w:id="1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277–291. </w:t>
            </w:r>
          </w:p>
          <w:p w14:paraId="44C7C1D3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Sejersen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>, T.B. (2008). “I Vow to Thee My Countries”: The Expansion of Dual Citizenship in the 21</w:t>
            </w:r>
            <w:r w:rsidRPr="000C60CB">
              <w:rPr>
                <w:rFonts w:ascii="Times New Roman" w:eastAsia="Calibri" w:hAnsi="Times New Roman" w:cs="Times New Roman"/>
                <w:vertAlign w:val="superscript"/>
                <w:lang w:val="en-GB"/>
              </w:rPr>
              <w:t>st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Century. </w:t>
            </w:r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>International Migration Review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>42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(3): 523–549.</w:t>
            </w:r>
          </w:p>
          <w:p w14:paraId="3E63890E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lang w:val="en-GB"/>
              </w:rPr>
              <w:lastRenderedPageBreak/>
              <w:t xml:space="preserve">Smith R. M. (2002). Modern Citizenship, in E.F. </w:t>
            </w:r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Isin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, B.S. Turner (eds) </w:t>
            </w:r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 xml:space="preserve">Handbook of Citizenship Studies, 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>London, Sage: 105-115.</w:t>
            </w:r>
          </w:p>
          <w:p w14:paraId="0B8DA9EB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Waterbury, M. A. (2014). Making Citizens Beyond the Borders. </w:t>
            </w:r>
            <w:r w:rsidRPr="000C60CB">
              <w:rPr>
                <w:rFonts w:ascii="Times New Roman" w:eastAsia="Calibri" w:hAnsi="Times New Roman" w:cs="Times New Roman"/>
                <w:i/>
                <w:iCs/>
                <w:lang w:val="en-GB"/>
              </w:rPr>
              <w:t>Problems of Post-Communism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61(4): 36-49. </w:t>
            </w:r>
          </w:p>
          <w:p w14:paraId="54BC48F4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val="en-GB"/>
              </w:rPr>
            </w:pPr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Vink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, M. P., De Groot, G-R. (2010). </w:t>
            </w:r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Birthright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Citizenship: Trends and Regulations in Europe. EUDO Citizenship Observatory Comparative Report No. RSCAS/EUDO-CIT-Comp. 2010/8. Available at SSRN: </w:t>
            </w:r>
            <w:hyperlink r:id="rId4" w:tgtFrame="_blank" w:history="1">
              <w:r w:rsidRPr="000C60CB">
                <w:rPr>
                  <w:rFonts w:ascii="Times New Roman" w:eastAsia="Calibri" w:hAnsi="Times New Roman" w:cs="Times New Roman"/>
                  <w:color w:val="0000FF"/>
                  <w:u w:val="single"/>
                  <w:lang w:val="en-GB"/>
                </w:rPr>
                <w:t>https://ssrn.com/abstract=1714975</w:t>
              </w:r>
            </w:hyperlink>
          </w:p>
          <w:p w14:paraId="56479567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14:paraId="133B6551" w14:textId="3395F175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val="en-US" w:eastAsia="pl-PL"/>
              </w:rPr>
            </w:pPr>
            <w:r w:rsidRPr="000C60CB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pl-PL"/>
              </w:rPr>
              <w:t>Supplementary</w:t>
            </w:r>
            <w:r w:rsidRPr="000C60C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val="en-US" w:eastAsia="pl-PL"/>
              </w:rPr>
              <w:t xml:space="preserve"> </w:t>
            </w:r>
            <w:r w:rsidRPr="000C60CB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pl-PL"/>
              </w:rPr>
              <w:t>literatur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pl-PL"/>
              </w:rPr>
              <w:t>e</w:t>
            </w:r>
            <w:r w:rsidRPr="000C60CB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pl-PL"/>
              </w:rPr>
              <w:t>:</w:t>
            </w:r>
          </w:p>
          <w:p w14:paraId="68AA802F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Bauböck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, R. (2002). How Migration Transforms Citizenship: International, Multinational and Transnational Perspectives. </w:t>
            </w:r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>IWE – Working Papers Series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>24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>: 2–28.</w:t>
            </w:r>
          </w:p>
          <w:p w14:paraId="700467E8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bookmarkStart w:id="2" w:name="_Hlk68884241"/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Bauböck</w:t>
            </w:r>
            <w:bookmarkEnd w:id="2"/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, R. (2003). Towards a Political Theory of Migrant Transnationalism. </w:t>
            </w:r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>International Migration Review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>37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(3): 700–723. </w:t>
            </w:r>
          </w:p>
          <w:p w14:paraId="74133181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lang w:val="en-GB"/>
              </w:rPr>
              <w:t>Brubaker, R. (2011).</w:t>
            </w:r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 xml:space="preserve"> Nationalizing States Revisited: Projects and Processes of Nationalization in Post-Soviet States. </w:t>
            </w:r>
            <w:r w:rsidRPr="000C60CB">
              <w:rPr>
                <w:rFonts w:ascii="Times New Roman" w:eastAsia="Calibri" w:hAnsi="Times New Roman" w:cs="Times New Roman"/>
                <w:bCs/>
                <w:i/>
                <w:lang w:val="en-GB"/>
              </w:rPr>
              <w:t>Ethnic and Racial Studies</w:t>
            </w:r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 xml:space="preserve"> 34 (11): 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1785-1814. </w:t>
            </w:r>
          </w:p>
          <w:p w14:paraId="1F5F1661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Bieber, F. (2010). Dual Citizenship can be a Solution, not a Problem, in: R. </w:t>
            </w:r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Baubock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(ed) </w:t>
            </w:r>
            <w:r w:rsidRPr="000C60CB">
              <w:rPr>
                <w:rFonts w:ascii="Times New Roman" w:eastAsia="Calibri" w:hAnsi="Times New Roman" w:cs="Times New Roman"/>
                <w:i/>
                <w:iCs/>
                <w:lang w:val="en-GB"/>
              </w:rPr>
              <w:t>Dual citizenship for Transborder Minorities? How to Respond to the Hungarian-Slovak tit-for-tat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, EUI Working Papers, EUDO Citizenship Observatory. </w:t>
            </w:r>
          </w:p>
          <w:p w14:paraId="1DEA4C1A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proofErr w:type="spellStart"/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>Jaskułowski</w:t>
            </w:r>
            <w:proofErr w:type="spellEnd"/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 xml:space="preserve">, K. (2010). Western (civic) versus Eastern (ethnic) Nationalism. The Origins and Critique of the Dichotomy. </w:t>
            </w:r>
            <w:r w:rsidRPr="000C60CB">
              <w:rPr>
                <w:rFonts w:ascii="Times New Roman" w:eastAsia="Calibri" w:hAnsi="Times New Roman" w:cs="Times New Roman"/>
                <w:bCs/>
                <w:i/>
                <w:iCs/>
                <w:lang w:val="en-GB"/>
              </w:rPr>
              <w:t>Polish Sociological Review</w:t>
            </w:r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 xml:space="preserve"> 3: 289-303. </w:t>
            </w:r>
          </w:p>
          <w:p w14:paraId="40763226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lang w:val="en-GB"/>
              </w:rPr>
            </w:pPr>
            <w:proofErr w:type="spellStart"/>
            <w:r w:rsidRPr="000C60CB">
              <w:rPr>
                <w:rFonts w:ascii="Times New Roman" w:eastAsia="Calibri" w:hAnsi="Times New Roman" w:cs="Times New Roman"/>
                <w:bCs/>
                <w:iCs/>
                <w:lang w:val="en"/>
              </w:rPr>
              <w:t>Pogonyi</w:t>
            </w:r>
            <w:proofErr w:type="spellEnd"/>
            <w:r w:rsidRPr="000C60CB">
              <w:rPr>
                <w:rFonts w:ascii="Times New Roman" w:eastAsia="Calibri" w:hAnsi="Times New Roman" w:cs="Times New Roman"/>
                <w:bCs/>
                <w:iCs/>
                <w:lang w:val="en"/>
              </w:rPr>
              <w:t xml:space="preserve">, </w:t>
            </w:r>
            <w:proofErr w:type="spellStart"/>
            <w:r w:rsidRPr="000C60CB">
              <w:rPr>
                <w:rFonts w:ascii="Times New Roman" w:eastAsia="Calibri" w:hAnsi="Times New Roman" w:cs="Times New Roman"/>
                <w:bCs/>
                <w:iCs/>
                <w:lang w:val="en"/>
              </w:rPr>
              <w:t>Sz</w:t>
            </w:r>
            <w:proofErr w:type="spellEnd"/>
            <w:r w:rsidRPr="000C60CB">
              <w:rPr>
                <w:rFonts w:ascii="Times New Roman" w:eastAsia="Calibri" w:hAnsi="Times New Roman" w:cs="Times New Roman"/>
                <w:bCs/>
                <w:iCs/>
                <w:lang w:val="en"/>
              </w:rPr>
              <w:t xml:space="preserve">., </w:t>
            </w:r>
            <w:proofErr w:type="spellStart"/>
            <w:r w:rsidRPr="000C60CB">
              <w:rPr>
                <w:rFonts w:ascii="Times New Roman" w:eastAsia="Calibri" w:hAnsi="Times New Roman" w:cs="Times New Roman"/>
                <w:bCs/>
                <w:iCs/>
                <w:lang w:val="en"/>
              </w:rPr>
              <w:t>Kovács</w:t>
            </w:r>
            <w:proofErr w:type="spellEnd"/>
            <w:r w:rsidRPr="000C60CB">
              <w:rPr>
                <w:rFonts w:ascii="Times New Roman" w:eastAsia="Calibri" w:hAnsi="Times New Roman" w:cs="Times New Roman"/>
                <w:bCs/>
                <w:iCs/>
                <w:lang w:val="en"/>
              </w:rPr>
              <w:t xml:space="preserve">, M. M., </w:t>
            </w:r>
            <w:proofErr w:type="spellStart"/>
            <w:r w:rsidRPr="000C60CB">
              <w:rPr>
                <w:rFonts w:ascii="Times New Roman" w:eastAsia="Calibri" w:hAnsi="Times New Roman" w:cs="Times New Roman"/>
                <w:bCs/>
                <w:iCs/>
                <w:lang w:val="en-GB"/>
              </w:rPr>
              <w:t>Körtvélyesi</w:t>
            </w:r>
            <w:proofErr w:type="spellEnd"/>
            <w:r w:rsidRPr="000C60CB">
              <w:rPr>
                <w:rFonts w:ascii="Times New Roman" w:eastAsia="Calibri" w:hAnsi="Times New Roman" w:cs="Times New Roman"/>
                <w:bCs/>
                <w:iCs/>
                <w:lang w:val="en-GB"/>
              </w:rPr>
              <w:t>, Z. (</w:t>
            </w:r>
            <w:r w:rsidRPr="000C60CB">
              <w:rPr>
                <w:rFonts w:ascii="Times New Roman" w:eastAsia="Calibri" w:hAnsi="Times New Roman" w:cs="Times New Roman"/>
                <w:bCs/>
                <w:lang w:val="en-GB"/>
              </w:rPr>
              <w:t xml:space="preserve">eds) (2010). The Politics of External Kin-State Citizenship in East Central Europe. EUDO Citizenship Observatory, </w:t>
            </w:r>
            <w:r w:rsidRPr="000C60CB">
              <w:rPr>
                <w:rFonts w:ascii="Times New Roman" w:eastAsia="Calibri" w:hAnsi="Times New Roman" w:cs="Times New Roman"/>
                <w:bCs/>
                <w:iCs/>
                <w:lang w:val="en-GB"/>
              </w:rPr>
              <w:t xml:space="preserve">Comparative Reports. </w:t>
            </w:r>
            <w:hyperlink r:id="rId5" w:history="1">
              <w:r w:rsidRPr="000C60CB">
                <w:rPr>
                  <w:rFonts w:ascii="Times New Roman" w:eastAsia="Calibri" w:hAnsi="Times New Roman" w:cs="Times New Roman"/>
                  <w:bCs/>
                  <w:iCs/>
                  <w:color w:val="0000FF"/>
                  <w:u w:val="single"/>
                  <w:lang w:val="en-GB"/>
                </w:rPr>
                <w:t>http://cadmus.eui.eu/handle/1814/19576</w:t>
              </w:r>
            </w:hyperlink>
            <w:r w:rsidRPr="000C60CB">
              <w:rPr>
                <w:rFonts w:ascii="Times New Roman" w:eastAsia="Calibri" w:hAnsi="Times New Roman" w:cs="Times New Roman"/>
                <w:bCs/>
                <w:iCs/>
                <w:lang w:val="en-GB"/>
              </w:rPr>
              <w:t>.</w:t>
            </w:r>
          </w:p>
          <w:p w14:paraId="116EB832" w14:textId="1A5CF664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lang w:val="en-GB"/>
              </w:rPr>
              <w:t>Smith Anthony D. (1991)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 National Identity, Reno, Nevada: University of Nevada Press. </w:t>
            </w:r>
          </w:p>
          <w:p w14:paraId="5F9D0837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0C60CB">
              <w:rPr>
                <w:rFonts w:ascii="Times New Roman" w:eastAsia="Calibri" w:hAnsi="Times New Roman" w:cs="Times New Roman"/>
                <w:lang w:val="en-GB"/>
              </w:rPr>
              <w:t>Soysal</w:t>
            </w:r>
            <w:proofErr w:type="spellEnd"/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, Y.N. (1994). </w:t>
            </w:r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 xml:space="preserve">Limits of Citizenship. Migrants and </w:t>
            </w:r>
            <w:proofErr w:type="spellStart"/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>Postnational</w:t>
            </w:r>
            <w:proofErr w:type="spellEnd"/>
            <w:r w:rsidRPr="000C60CB">
              <w:rPr>
                <w:rFonts w:ascii="Times New Roman" w:eastAsia="Calibri" w:hAnsi="Times New Roman" w:cs="Times New Roman"/>
                <w:i/>
                <w:lang w:val="en-GB"/>
              </w:rPr>
              <w:t xml:space="preserve"> Membership in Europe</w:t>
            </w:r>
            <w:r w:rsidRPr="000C60CB">
              <w:rPr>
                <w:rFonts w:ascii="Times New Roman" w:eastAsia="Calibri" w:hAnsi="Times New Roman" w:cs="Times New Roman"/>
                <w:lang w:val="en-GB"/>
              </w:rPr>
              <w:t xml:space="preserve">. Chicago: The University of Chicago Press. </w:t>
            </w:r>
          </w:p>
          <w:p w14:paraId="26510CB6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C60CB">
              <w:rPr>
                <w:rFonts w:ascii="Times New Roman" w:eastAsia="Calibri" w:hAnsi="Times New Roman" w:cs="Times New Roman"/>
                <w:lang w:val="en-GB"/>
              </w:rPr>
              <w:lastRenderedPageBreak/>
              <w:t xml:space="preserve">Waterbury  M. A. (2009). From Irredentism to Diaspora Politics: States and Transborder Ethnic Groups in Eastern Europe, Global Migration and Transnational Politics, Working Paper no. 6. </w:t>
            </w:r>
          </w:p>
          <w:p w14:paraId="0E6156B8" w14:textId="77777777" w:rsidR="000C60CB" w:rsidRPr="000C60CB" w:rsidRDefault="000C60CB" w:rsidP="000C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GB" w:eastAsia="pl-PL"/>
              </w:rPr>
            </w:pPr>
          </w:p>
          <w:p w14:paraId="474897F3" w14:textId="77777777" w:rsidR="000C60CB" w:rsidRPr="000C60CB" w:rsidRDefault="000C60CB" w:rsidP="000C60CB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06B35A9D" w14:textId="77777777" w:rsidR="000C60CB" w:rsidRPr="000C60CB" w:rsidRDefault="000C60CB" w:rsidP="000C60C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BCC1483" w14:textId="77777777" w:rsidR="00385EAB" w:rsidRPr="000C60CB" w:rsidRDefault="00F21C76">
      <w:pPr>
        <w:rPr>
          <w:lang w:val="en-US"/>
        </w:rPr>
      </w:pPr>
    </w:p>
    <w:sectPr w:rsidR="00385EAB" w:rsidRPr="000C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A3"/>
    <w:rsid w:val="000C60CB"/>
    <w:rsid w:val="00123D3D"/>
    <w:rsid w:val="003B19A3"/>
    <w:rsid w:val="00856AB3"/>
    <w:rsid w:val="00BF64E1"/>
    <w:rsid w:val="00F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2367"/>
  <w15:chartTrackingRefBased/>
  <w15:docId w15:val="{2AD7ADEB-1765-4157-AB5D-00392234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dmus.eui.eu/handle/1814/19576" TargetMode="External"/><Relationship Id="rId4" Type="http://schemas.openxmlformats.org/officeDocument/2006/relationships/hyperlink" Target="https://ssrn.com/abstract=17149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1083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Łucka</dc:creator>
  <cp:keywords/>
  <dc:description/>
  <cp:lastModifiedBy>Danuta Wisła</cp:lastModifiedBy>
  <cp:revision>2</cp:revision>
  <dcterms:created xsi:type="dcterms:W3CDTF">2022-01-14T08:43:00Z</dcterms:created>
  <dcterms:modified xsi:type="dcterms:W3CDTF">2022-01-14T08:43:00Z</dcterms:modified>
</cp:coreProperties>
</file>