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A2344" w14:textId="1458F5BA" w:rsidR="00B91530" w:rsidRPr="00FA1A5D" w:rsidRDefault="00673C88" w:rsidP="00FA1A5D">
      <w:pPr>
        <w:spacing w:after="0" w:line="240" w:lineRule="auto"/>
      </w:pPr>
      <w:r>
        <w:t>Kraków, dnia 13.06.2022 r.</w:t>
      </w:r>
    </w:p>
    <w:p w14:paraId="160AF849" w14:textId="77777777" w:rsidR="00FE4F6F" w:rsidRDefault="00FE4F6F" w:rsidP="00FA1A5D">
      <w:pPr>
        <w:spacing w:after="0" w:line="240" w:lineRule="auto"/>
        <w:jc w:val="center"/>
        <w:rPr>
          <w:b/>
          <w:bCs/>
        </w:rPr>
      </w:pPr>
    </w:p>
    <w:p w14:paraId="6733DA56" w14:textId="77777777" w:rsidR="00FE4F6F" w:rsidRDefault="00FE4F6F" w:rsidP="00FA1A5D">
      <w:pPr>
        <w:spacing w:after="0" w:line="240" w:lineRule="auto"/>
        <w:jc w:val="center"/>
        <w:rPr>
          <w:b/>
          <w:bCs/>
        </w:rPr>
      </w:pPr>
    </w:p>
    <w:p w14:paraId="40724D00" w14:textId="77777777" w:rsidR="00FE4F6F" w:rsidRDefault="00FE4F6F" w:rsidP="00FA1A5D">
      <w:pPr>
        <w:spacing w:after="0" w:line="240" w:lineRule="auto"/>
        <w:jc w:val="center"/>
        <w:rPr>
          <w:b/>
          <w:bCs/>
        </w:rPr>
      </w:pPr>
    </w:p>
    <w:p w14:paraId="470CCF1F" w14:textId="77777777" w:rsidR="00FE4F6F" w:rsidRDefault="00FE4F6F" w:rsidP="00FA1A5D">
      <w:pPr>
        <w:spacing w:after="0" w:line="240" w:lineRule="auto"/>
        <w:jc w:val="center"/>
        <w:rPr>
          <w:b/>
          <w:bCs/>
        </w:rPr>
      </w:pPr>
    </w:p>
    <w:p w14:paraId="38DF58D7" w14:textId="77777777" w:rsidR="00FE4F6F" w:rsidRDefault="00FE4F6F" w:rsidP="00FA1A5D">
      <w:pPr>
        <w:spacing w:after="0" w:line="240" w:lineRule="auto"/>
        <w:jc w:val="center"/>
        <w:rPr>
          <w:b/>
          <w:bCs/>
        </w:rPr>
      </w:pPr>
    </w:p>
    <w:p w14:paraId="5F111315" w14:textId="77777777" w:rsidR="00FE4F6F" w:rsidRDefault="00FE4F6F" w:rsidP="00FA1A5D">
      <w:pPr>
        <w:spacing w:after="0" w:line="240" w:lineRule="auto"/>
        <w:jc w:val="center"/>
        <w:rPr>
          <w:b/>
          <w:bCs/>
        </w:rPr>
      </w:pPr>
    </w:p>
    <w:p w14:paraId="4092A916" w14:textId="77777777" w:rsidR="00FE4F6F" w:rsidRDefault="00FE4F6F" w:rsidP="00FA1A5D">
      <w:pPr>
        <w:spacing w:after="0" w:line="240" w:lineRule="auto"/>
        <w:jc w:val="center"/>
        <w:rPr>
          <w:b/>
          <w:bCs/>
        </w:rPr>
      </w:pPr>
    </w:p>
    <w:p w14:paraId="6504CE58" w14:textId="2D16038B" w:rsidR="00673C88" w:rsidRPr="00673C88" w:rsidRDefault="00673C88" w:rsidP="00FA1A5D">
      <w:pPr>
        <w:spacing w:after="0" w:line="240" w:lineRule="auto"/>
        <w:jc w:val="center"/>
        <w:rPr>
          <w:b/>
          <w:bCs/>
        </w:rPr>
      </w:pPr>
      <w:r w:rsidRPr="00673C88">
        <w:rPr>
          <w:b/>
          <w:bCs/>
        </w:rPr>
        <w:t>Lista rankingowa</w:t>
      </w:r>
    </w:p>
    <w:p w14:paraId="3B4E0AB7" w14:textId="0F18AE8E" w:rsidR="003E5C34" w:rsidRPr="003E5C34" w:rsidRDefault="00830D3F" w:rsidP="003E5C34">
      <w:pPr>
        <w:spacing w:after="0" w:line="240" w:lineRule="auto"/>
        <w:jc w:val="center"/>
      </w:pPr>
      <w:r w:rsidRPr="00830D3F">
        <w:t xml:space="preserve">Komisja ds. przyznawania nagród </w:t>
      </w:r>
      <w:r w:rsidRPr="00830D3F">
        <w:rPr>
          <w:b/>
          <w:bCs/>
        </w:rPr>
        <w:t>Excellence Module</w:t>
      </w:r>
      <w:r w:rsidRPr="00830D3F">
        <w:t xml:space="preserve"> w ramach wsparcia dla doktorantów i uczestników studiów doktoranckich w programie ID UJ w Szkole Doktorskiej Nauk Społecznych w 2022 roku, decyzją z dnia 6 czerwca 2022 przyznała nagrody dla</w:t>
      </w:r>
    </w:p>
    <w:tbl>
      <w:tblPr>
        <w:tblStyle w:val="Tabela-Siatka"/>
        <w:tblpPr w:leftFromText="141" w:rightFromText="141" w:vertAnchor="page" w:horzAnchor="margin" w:tblpXSpec="center" w:tblpY="4951"/>
        <w:tblW w:w="0" w:type="auto"/>
        <w:tblLook w:val="04A0" w:firstRow="1" w:lastRow="0" w:firstColumn="1" w:lastColumn="0" w:noHBand="0" w:noVBand="1"/>
      </w:tblPr>
      <w:tblGrid>
        <w:gridCol w:w="486"/>
        <w:gridCol w:w="1420"/>
        <w:gridCol w:w="1152"/>
        <w:gridCol w:w="5670"/>
      </w:tblGrid>
      <w:tr w:rsidR="00FA1A5D" w:rsidRPr="00830D3F" w14:paraId="285C872E" w14:textId="77777777" w:rsidTr="000A7230">
        <w:trPr>
          <w:trHeight w:val="290"/>
        </w:trPr>
        <w:tc>
          <w:tcPr>
            <w:tcW w:w="8642" w:type="dxa"/>
            <w:gridSpan w:val="4"/>
            <w:noWrap/>
          </w:tcPr>
          <w:p w14:paraId="5AC73C2E" w14:textId="7B038CAB" w:rsidR="00FA1A5D" w:rsidRDefault="00FA1A5D" w:rsidP="00FA1A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Nagroda za 2021 rok</w:t>
            </w:r>
          </w:p>
        </w:tc>
      </w:tr>
      <w:tr w:rsidR="00FA1A5D" w:rsidRPr="00830D3F" w14:paraId="715D3EE5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00BABAB8" w14:textId="77777777" w:rsidR="00FA1A5D" w:rsidRPr="00830D3F" w:rsidRDefault="00FA1A5D" w:rsidP="00FA1A5D">
            <w:pPr>
              <w:rPr>
                <w:b/>
                <w:bCs/>
              </w:rPr>
            </w:pPr>
            <w:r w:rsidRPr="00830D3F">
              <w:rPr>
                <w:b/>
                <w:bCs/>
              </w:rPr>
              <w:t>Lp.</w:t>
            </w:r>
          </w:p>
        </w:tc>
        <w:tc>
          <w:tcPr>
            <w:tcW w:w="1334" w:type="dxa"/>
            <w:noWrap/>
            <w:hideMark/>
          </w:tcPr>
          <w:p w14:paraId="1699D181" w14:textId="57CA1343" w:rsidR="00FA1A5D" w:rsidRPr="00830D3F" w:rsidRDefault="00FA1A5D" w:rsidP="00FA1A5D">
            <w:pPr>
              <w:rPr>
                <w:b/>
                <w:bCs/>
              </w:rPr>
            </w:pPr>
            <w:r w:rsidRPr="00830D3F">
              <w:rPr>
                <w:b/>
                <w:bCs/>
              </w:rPr>
              <w:t>N</w:t>
            </w:r>
            <w:r w:rsidR="006F4602">
              <w:rPr>
                <w:b/>
                <w:bCs/>
              </w:rPr>
              <w:t>a</w:t>
            </w:r>
            <w:r w:rsidRPr="00830D3F">
              <w:rPr>
                <w:b/>
                <w:bCs/>
              </w:rPr>
              <w:t>zwisko</w:t>
            </w:r>
          </w:p>
        </w:tc>
        <w:tc>
          <w:tcPr>
            <w:tcW w:w="1152" w:type="dxa"/>
            <w:noWrap/>
            <w:hideMark/>
          </w:tcPr>
          <w:p w14:paraId="2606FF3C" w14:textId="77777777" w:rsidR="00FA1A5D" w:rsidRPr="00830D3F" w:rsidRDefault="00FA1A5D" w:rsidP="00FA1A5D">
            <w:pPr>
              <w:rPr>
                <w:b/>
                <w:bCs/>
              </w:rPr>
            </w:pPr>
            <w:r w:rsidRPr="00830D3F">
              <w:rPr>
                <w:b/>
                <w:bCs/>
              </w:rPr>
              <w:t>Imię</w:t>
            </w:r>
          </w:p>
        </w:tc>
        <w:tc>
          <w:tcPr>
            <w:tcW w:w="5670" w:type="dxa"/>
          </w:tcPr>
          <w:p w14:paraId="757A56B4" w14:textId="77777777" w:rsidR="00FA1A5D" w:rsidRPr="00830D3F" w:rsidRDefault="00FA1A5D" w:rsidP="00FA1A5D">
            <w:pPr>
              <w:rPr>
                <w:b/>
                <w:bCs/>
              </w:rPr>
            </w:pPr>
            <w:r>
              <w:rPr>
                <w:b/>
                <w:bCs/>
              </w:rPr>
              <w:t>Tytuł publikacji</w:t>
            </w:r>
          </w:p>
        </w:tc>
      </w:tr>
      <w:tr w:rsidR="00FA1A5D" w:rsidRPr="00830D3F" w14:paraId="46FC1B6F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2142D765" w14:textId="77777777" w:rsidR="00FA1A5D" w:rsidRPr="00830D3F" w:rsidRDefault="00FA1A5D" w:rsidP="00FA1A5D">
            <w:r w:rsidRPr="00830D3F">
              <w:t>1</w:t>
            </w:r>
          </w:p>
        </w:tc>
        <w:tc>
          <w:tcPr>
            <w:tcW w:w="1334" w:type="dxa"/>
            <w:noWrap/>
            <w:hideMark/>
          </w:tcPr>
          <w:p w14:paraId="1C4E0F71" w14:textId="77777777" w:rsidR="00FA1A5D" w:rsidRPr="00830D3F" w:rsidRDefault="00FA1A5D" w:rsidP="00FA1A5D">
            <w:r w:rsidRPr="00830D3F">
              <w:t xml:space="preserve">Dobosz </w:t>
            </w:r>
          </w:p>
        </w:tc>
        <w:tc>
          <w:tcPr>
            <w:tcW w:w="1152" w:type="dxa"/>
            <w:noWrap/>
            <w:hideMark/>
          </w:tcPr>
          <w:p w14:paraId="79B31C0B" w14:textId="77777777" w:rsidR="00FA1A5D" w:rsidRPr="00830D3F" w:rsidRDefault="00FA1A5D" w:rsidP="00FA1A5D">
            <w:r w:rsidRPr="00830D3F">
              <w:t>Damian</w:t>
            </w:r>
          </w:p>
        </w:tc>
        <w:tc>
          <w:tcPr>
            <w:tcW w:w="5670" w:type="dxa"/>
          </w:tcPr>
          <w:p w14:paraId="6747C276" w14:textId="77777777" w:rsidR="00FA1A5D" w:rsidRPr="00830D3F" w:rsidRDefault="00FA1A5D" w:rsidP="00FA1A5D">
            <w:r w:rsidRPr="00CB24A9">
              <w:t>Dobosz, D. (2021). System ochrony konsumentów w Unii Europejskiej a autonomia woli (pp. 212, [1]). Wydawnictwo Uniwersytetu Jagiellońskiego.</w:t>
            </w:r>
          </w:p>
        </w:tc>
      </w:tr>
      <w:tr w:rsidR="00FA1A5D" w:rsidRPr="00830D3F" w14:paraId="467FA1B2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50B540BF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2</w:t>
            </w:r>
          </w:p>
        </w:tc>
        <w:tc>
          <w:tcPr>
            <w:tcW w:w="1334" w:type="dxa"/>
            <w:noWrap/>
            <w:hideMark/>
          </w:tcPr>
          <w:p w14:paraId="5481CDE8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Juzaszek</w:t>
            </w:r>
          </w:p>
        </w:tc>
        <w:tc>
          <w:tcPr>
            <w:tcW w:w="1152" w:type="dxa"/>
            <w:noWrap/>
            <w:hideMark/>
          </w:tcPr>
          <w:p w14:paraId="12C5140D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Anna</w:t>
            </w:r>
          </w:p>
        </w:tc>
        <w:tc>
          <w:tcPr>
            <w:tcW w:w="5670" w:type="dxa"/>
          </w:tcPr>
          <w:p w14:paraId="2D9EF73D" w14:textId="77777777" w:rsidR="00FA1A5D" w:rsidRPr="00830D3F" w:rsidRDefault="00FA1A5D" w:rsidP="000A7230">
            <w:r w:rsidRPr="00D543B3">
              <w:t xml:space="preserve">Juzaszek, A. (2022). Indian “Love </w:t>
            </w:r>
            <w:proofErr w:type="spellStart"/>
            <w:r w:rsidRPr="00D543B3">
              <w:t>Jihad</w:t>
            </w:r>
            <w:proofErr w:type="spellEnd"/>
            <w:r w:rsidRPr="00D543B3">
              <w:t xml:space="preserve">” </w:t>
            </w:r>
            <w:proofErr w:type="spellStart"/>
            <w:r w:rsidRPr="00D543B3">
              <w:t>goes</w:t>
            </w:r>
            <w:proofErr w:type="spellEnd"/>
            <w:r w:rsidRPr="00D543B3">
              <w:t xml:space="preserve"> to </w:t>
            </w:r>
            <w:proofErr w:type="spellStart"/>
            <w:r w:rsidRPr="00D543B3">
              <w:t>court</w:t>
            </w:r>
            <w:proofErr w:type="spellEnd"/>
            <w:r w:rsidRPr="00D543B3">
              <w:t xml:space="preserve">. In M. Stępień &amp; J. </w:t>
            </w:r>
            <w:proofErr w:type="spellStart"/>
            <w:r w:rsidRPr="00D543B3">
              <w:t>Klakla</w:t>
            </w:r>
            <w:proofErr w:type="spellEnd"/>
            <w:r w:rsidRPr="00D543B3">
              <w:t xml:space="preserve"> (</w:t>
            </w:r>
            <w:proofErr w:type="spellStart"/>
            <w:r w:rsidRPr="00D543B3">
              <w:t>Eds</w:t>
            </w:r>
            <w:proofErr w:type="spellEnd"/>
            <w:r w:rsidRPr="00D543B3">
              <w:t xml:space="preserve">.), Law and </w:t>
            </w:r>
            <w:proofErr w:type="spellStart"/>
            <w:proofErr w:type="gramStart"/>
            <w:r w:rsidRPr="00D543B3">
              <w:t>culture</w:t>
            </w:r>
            <w:proofErr w:type="spellEnd"/>
            <w:r w:rsidRPr="00D543B3">
              <w:t> :</w:t>
            </w:r>
            <w:proofErr w:type="gramEnd"/>
            <w:r w:rsidRPr="00D543B3">
              <w:t xml:space="preserve"> </w:t>
            </w:r>
            <w:proofErr w:type="spellStart"/>
            <w:r w:rsidRPr="00D543B3">
              <w:t>reconceptualization</w:t>
            </w:r>
            <w:proofErr w:type="spellEnd"/>
            <w:r w:rsidRPr="00D543B3">
              <w:t xml:space="preserve"> and </w:t>
            </w:r>
            <w:proofErr w:type="spellStart"/>
            <w:r w:rsidRPr="00D543B3">
              <w:t>case</w:t>
            </w:r>
            <w:proofErr w:type="spellEnd"/>
            <w:r w:rsidRPr="00D543B3">
              <w:t xml:space="preserve"> </w:t>
            </w:r>
            <w:proofErr w:type="spellStart"/>
            <w:r w:rsidRPr="00D543B3">
              <w:t>studies</w:t>
            </w:r>
            <w:proofErr w:type="spellEnd"/>
            <w:r w:rsidRPr="00D543B3">
              <w:t xml:space="preserve"> (pp. 57–86). Springer</w:t>
            </w:r>
          </w:p>
        </w:tc>
      </w:tr>
      <w:tr w:rsidR="00FA1A5D" w:rsidRPr="00830D3F" w14:paraId="373AF21A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296B0EE5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3</w:t>
            </w:r>
          </w:p>
        </w:tc>
        <w:tc>
          <w:tcPr>
            <w:tcW w:w="1334" w:type="dxa"/>
            <w:noWrap/>
          </w:tcPr>
          <w:p w14:paraId="0B2729E2" w14:textId="77777777" w:rsidR="00FA1A5D" w:rsidRPr="00830D3F" w:rsidRDefault="00FA1A5D" w:rsidP="000A7230">
            <w:pPr>
              <w:spacing w:after="160" w:line="259" w:lineRule="auto"/>
            </w:pPr>
            <w:r>
              <w:t>Krupa</w:t>
            </w:r>
          </w:p>
        </w:tc>
        <w:tc>
          <w:tcPr>
            <w:tcW w:w="1152" w:type="dxa"/>
            <w:noWrap/>
          </w:tcPr>
          <w:p w14:paraId="787E6989" w14:textId="77777777" w:rsidR="00FA1A5D" w:rsidRPr="00830D3F" w:rsidRDefault="00FA1A5D" w:rsidP="000A7230">
            <w:pPr>
              <w:spacing w:after="160" w:line="259" w:lineRule="auto"/>
            </w:pPr>
            <w:r>
              <w:t>Jakub</w:t>
            </w:r>
          </w:p>
        </w:tc>
        <w:tc>
          <w:tcPr>
            <w:tcW w:w="5670" w:type="dxa"/>
          </w:tcPr>
          <w:p w14:paraId="24A3B3F1" w14:textId="44825A2C" w:rsidR="00FA1A5D" w:rsidRPr="00830D3F" w:rsidRDefault="00FA1A5D" w:rsidP="000A7230">
            <w:r w:rsidRPr="008E40DF">
              <w:t xml:space="preserve">Krupa, J. (2021). Stan wojenny w narracjach </w:t>
            </w:r>
            <w:r w:rsidR="006F4602" w:rsidRPr="008E40DF">
              <w:t>prasowych:</w:t>
            </w:r>
            <w:r w:rsidRPr="008E40DF">
              <w:t xml:space="preserve"> analiza rocznicowych numerów wybranych dzienników ogólnopolskich (p. 256). Ośrodek Myśli Politycznej.</w:t>
            </w:r>
          </w:p>
        </w:tc>
      </w:tr>
      <w:tr w:rsidR="00FA1A5D" w:rsidRPr="00830D3F" w14:paraId="3CDDF797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6B66A935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4</w:t>
            </w:r>
          </w:p>
        </w:tc>
        <w:tc>
          <w:tcPr>
            <w:tcW w:w="1334" w:type="dxa"/>
            <w:noWrap/>
          </w:tcPr>
          <w:p w14:paraId="5C764752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Próchnicki</w:t>
            </w:r>
          </w:p>
        </w:tc>
        <w:tc>
          <w:tcPr>
            <w:tcW w:w="1152" w:type="dxa"/>
            <w:noWrap/>
          </w:tcPr>
          <w:p w14:paraId="409AF260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Maciej</w:t>
            </w:r>
          </w:p>
        </w:tc>
        <w:tc>
          <w:tcPr>
            <w:tcW w:w="5670" w:type="dxa"/>
          </w:tcPr>
          <w:p w14:paraId="135121B2" w14:textId="77777777" w:rsidR="00FA1A5D" w:rsidRDefault="00FA1A5D" w:rsidP="000A7230">
            <w:proofErr w:type="spellStart"/>
            <w:r>
              <w:t>Bystranowski</w:t>
            </w:r>
            <w:proofErr w:type="spellEnd"/>
            <w:r>
              <w:t xml:space="preserve">, P., Janik, B., Próchnicki, M.*, &amp; Skórska, P. (2021). </w:t>
            </w:r>
            <w:proofErr w:type="spellStart"/>
            <w:r>
              <w:t>Anchoring</w:t>
            </w:r>
            <w:proofErr w:type="spellEnd"/>
            <w:r>
              <w:t xml:space="preserve"> </w:t>
            </w:r>
            <w:proofErr w:type="spellStart"/>
            <w:r>
              <w:t>effect</w:t>
            </w:r>
            <w:proofErr w:type="spellEnd"/>
            <w:r>
              <w:t xml:space="preserve"> in </w:t>
            </w:r>
            <w:proofErr w:type="spellStart"/>
            <w:r>
              <w:t>legal</w:t>
            </w:r>
            <w:proofErr w:type="spellEnd"/>
            <w:r>
              <w:t xml:space="preserve"> </w:t>
            </w:r>
            <w:proofErr w:type="spellStart"/>
            <w:r>
              <w:t>decision-making</w:t>
            </w:r>
            <w:proofErr w:type="spellEnd"/>
            <w:r>
              <w:t>:</w:t>
            </w:r>
          </w:p>
          <w:p w14:paraId="2A8674D2" w14:textId="77777777" w:rsidR="00FA1A5D" w:rsidRDefault="00FA1A5D" w:rsidP="000A7230">
            <w:r>
              <w:t>A meta-</w:t>
            </w:r>
            <w:proofErr w:type="spellStart"/>
            <w:r>
              <w:t>analysis</w:t>
            </w:r>
            <w:proofErr w:type="spellEnd"/>
            <w:r>
              <w:t xml:space="preserve">. Law and Human </w:t>
            </w:r>
            <w:proofErr w:type="spellStart"/>
            <w:r>
              <w:t>Behavior</w:t>
            </w:r>
            <w:proofErr w:type="spellEnd"/>
            <w:r>
              <w:t>, 45(1), 1-23.</w:t>
            </w:r>
          </w:p>
          <w:p w14:paraId="033C56E3" w14:textId="77777777" w:rsidR="00FA1A5D" w:rsidRPr="00830D3F" w:rsidRDefault="00FA1A5D" w:rsidP="000A7230">
            <w:r>
              <w:t>Termin realizacji działań, których dotyczy wniosek o finansowanie</w:t>
            </w:r>
          </w:p>
        </w:tc>
      </w:tr>
      <w:tr w:rsidR="00FA1A5D" w:rsidRPr="00830D3F" w14:paraId="3F918F4F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2A702D62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5</w:t>
            </w:r>
          </w:p>
        </w:tc>
        <w:tc>
          <w:tcPr>
            <w:tcW w:w="1334" w:type="dxa"/>
            <w:noWrap/>
            <w:hideMark/>
          </w:tcPr>
          <w:p w14:paraId="2C89C4B2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 xml:space="preserve">Thevenin </w:t>
            </w:r>
          </w:p>
        </w:tc>
        <w:tc>
          <w:tcPr>
            <w:tcW w:w="1152" w:type="dxa"/>
            <w:noWrap/>
            <w:hideMark/>
          </w:tcPr>
          <w:p w14:paraId="3C4BAE11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Elodie</w:t>
            </w:r>
          </w:p>
        </w:tc>
        <w:tc>
          <w:tcPr>
            <w:tcW w:w="5670" w:type="dxa"/>
          </w:tcPr>
          <w:p w14:paraId="3E618E01" w14:textId="2D75A071" w:rsidR="00FA1A5D" w:rsidRPr="00830D3F" w:rsidRDefault="00FA1A5D" w:rsidP="000A7230">
            <w:r w:rsidRPr="00CB3E13">
              <w:t xml:space="preserve">Styczyńska, N., &amp; Thevenin, E. (2021). Sojusz Europejskich Ruchów Narodowych i Ruch na rzecz Europy Narodów i </w:t>
            </w:r>
            <w:r w:rsidR="006F4602" w:rsidRPr="00CB3E13">
              <w:t>Wolności:</w:t>
            </w:r>
            <w:r w:rsidRPr="00CB3E13">
              <w:t xml:space="preserve"> podzieleni kontestatorzy integracji. In A. </w:t>
            </w:r>
            <w:proofErr w:type="spellStart"/>
            <w:r w:rsidRPr="00CB3E13">
              <w:t>Pacześniak</w:t>
            </w:r>
            <w:proofErr w:type="spellEnd"/>
            <w:r w:rsidRPr="00CB3E13">
              <w:t xml:space="preserve"> &amp; B. </w:t>
            </w:r>
            <w:proofErr w:type="spellStart"/>
            <w:r w:rsidRPr="00CB3E13">
              <w:t>Rydliński</w:t>
            </w:r>
            <w:proofErr w:type="spellEnd"/>
            <w:r w:rsidRPr="00CB3E13">
              <w:t xml:space="preserve"> (</w:t>
            </w:r>
            <w:proofErr w:type="spellStart"/>
            <w:r w:rsidRPr="00CB3E13">
              <w:t>Eds</w:t>
            </w:r>
            <w:proofErr w:type="spellEnd"/>
            <w:r w:rsidRPr="00CB3E13">
              <w:t xml:space="preserve">.), Europejskie partie </w:t>
            </w:r>
            <w:r w:rsidR="006F4602" w:rsidRPr="00CB3E13">
              <w:t>polityczne:</w:t>
            </w:r>
            <w:r w:rsidRPr="00CB3E13">
              <w:t xml:space="preserve"> dyskurs programowy w Unii Europejskiej (pp. 268–290). Wydawnictwo Sejmowe.</w:t>
            </w:r>
          </w:p>
        </w:tc>
      </w:tr>
      <w:tr w:rsidR="00FA1A5D" w:rsidRPr="00830D3F" w14:paraId="680A27C0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4E33A676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6</w:t>
            </w:r>
          </w:p>
        </w:tc>
        <w:tc>
          <w:tcPr>
            <w:tcW w:w="1334" w:type="dxa"/>
            <w:noWrap/>
          </w:tcPr>
          <w:p w14:paraId="2E85D1C3" w14:textId="77777777" w:rsidR="00FA1A5D" w:rsidRPr="00830D3F" w:rsidRDefault="00FA1A5D" w:rsidP="000A7230">
            <w:pPr>
              <w:spacing w:after="160" w:line="259" w:lineRule="auto"/>
            </w:pPr>
            <w:r>
              <w:t xml:space="preserve">Wielgus </w:t>
            </w:r>
          </w:p>
        </w:tc>
        <w:tc>
          <w:tcPr>
            <w:tcW w:w="1152" w:type="dxa"/>
            <w:noWrap/>
          </w:tcPr>
          <w:p w14:paraId="5ECCF7F6" w14:textId="77777777" w:rsidR="00FA1A5D" w:rsidRPr="00830D3F" w:rsidRDefault="00FA1A5D" w:rsidP="000A7230">
            <w:pPr>
              <w:spacing w:after="160" w:line="259" w:lineRule="auto"/>
            </w:pPr>
            <w:r>
              <w:t>Kamil</w:t>
            </w:r>
          </w:p>
        </w:tc>
        <w:tc>
          <w:tcPr>
            <w:tcW w:w="5670" w:type="dxa"/>
          </w:tcPr>
          <w:p w14:paraId="78517533" w14:textId="77777777" w:rsidR="00FA1A5D" w:rsidRPr="00830D3F" w:rsidRDefault="00FA1A5D" w:rsidP="000A7230">
            <w:r w:rsidRPr="001232EA">
              <w:t>Kowacz, K., Wielgus, K</w:t>
            </w:r>
            <w:r>
              <w:t xml:space="preserve">. </w:t>
            </w:r>
            <w:r w:rsidRPr="001232EA">
              <w:t>(2021), Smart kontrakty w prawie umów, Księgarnia Akademicka, Recenzent: prof. dr hab. Fryderyk Zoll.</w:t>
            </w:r>
          </w:p>
        </w:tc>
      </w:tr>
      <w:tr w:rsidR="00FA1A5D" w:rsidRPr="00830D3F" w14:paraId="729DD435" w14:textId="77777777" w:rsidTr="000A7230">
        <w:trPr>
          <w:trHeight w:val="290"/>
        </w:trPr>
        <w:tc>
          <w:tcPr>
            <w:tcW w:w="486" w:type="dxa"/>
            <w:noWrap/>
            <w:hideMark/>
          </w:tcPr>
          <w:p w14:paraId="68A3E543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7</w:t>
            </w:r>
          </w:p>
        </w:tc>
        <w:tc>
          <w:tcPr>
            <w:tcW w:w="1334" w:type="dxa"/>
            <w:noWrap/>
          </w:tcPr>
          <w:p w14:paraId="729F267C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Wszołek</w:t>
            </w:r>
          </w:p>
        </w:tc>
        <w:tc>
          <w:tcPr>
            <w:tcW w:w="1152" w:type="dxa"/>
            <w:noWrap/>
          </w:tcPr>
          <w:p w14:paraId="5E945982" w14:textId="77777777" w:rsidR="00FA1A5D" w:rsidRPr="00830D3F" w:rsidRDefault="00FA1A5D" w:rsidP="000A7230">
            <w:pPr>
              <w:spacing w:after="160" w:line="259" w:lineRule="auto"/>
            </w:pPr>
            <w:r w:rsidRPr="00830D3F">
              <w:t>Anna</w:t>
            </w:r>
          </w:p>
        </w:tc>
        <w:tc>
          <w:tcPr>
            <w:tcW w:w="5670" w:type="dxa"/>
          </w:tcPr>
          <w:p w14:paraId="7C3AB0CE" w14:textId="77777777" w:rsidR="00FA1A5D" w:rsidRPr="00830D3F" w:rsidRDefault="00FA1A5D" w:rsidP="000A7230">
            <w:r w:rsidRPr="002072C1">
              <w:t xml:space="preserve">Wszołek, A. (2021). </w:t>
            </w:r>
            <w:proofErr w:type="spellStart"/>
            <w:r w:rsidRPr="002072C1">
              <w:t>Still</w:t>
            </w:r>
            <w:proofErr w:type="spellEnd"/>
            <w:r w:rsidRPr="002072C1">
              <w:t xml:space="preserve"> </w:t>
            </w:r>
            <w:proofErr w:type="spellStart"/>
            <w:r w:rsidRPr="002072C1">
              <w:t>unifying</w:t>
            </w:r>
            <w:proofErr w:type="spellEnd"/>
            <w:proofErr w:type="gramStart"/>
            <w:r w:rsidRPr="002072C1">
              <w:t>? :</w:t>
            </w:r>
            <w:proofErr w:type="gramEnd"/>
            <w:r w:rsidRPr="002072C1">
              <w:t xml:space="preserve"> the </w:t>
            </w:r>
            <w:proofErr w:type="spellStart"/>
            <w:r w:rsidRPr="002072C1">
              <w:t>future</w:t>
            </w:r>
            <w:proofErr w:type="spellEnd"/>
            <w:r w:rsidRPr="002072C1">
              <w:t xml:space="preserve"> of the </w:t>
            </w:r>
            <w:proofErr w:type="spellStart"/>
            <w:r w:rsidRPr="002072C1">
              <w:t>Unified</w:t>
            </w:r>
            <w:proofErr w:type="spellEnd"/>
            <w:r w:rsidRPr="002072C1">
              <w:t xml:space="preserve"> Patent Court. IIC International </w:t>
            </w:r>
            <w:proofErr w:type="spellStart"/>
            <w:r w:rsidRPr="002072C1">
              <w:t>Review</w:t>
            </w:r>
            <w:proofErr w:type="spellEnd"/>
            <w:r w:rsidRPr="002072C1">
              <w:t xml:space="preserve"> of </w:t>
            </w:r>
            <w:proofErr w:type="spellStart"/>
            <w:r w:rsidRPr="002072C1">
              <w:t>Intellectual</w:t>
            </w:r>
            <w:proofErr w:type="spellEnd"/>
            <w:r w:rsidRPr="002072C1">
              <w:t xml:space="preserve"> </w:t>
            </w:r>
            <w:proofErr w:type="spellStart"/>
            <w:r w:rsidRPr="002072C1">
              <w:t>Property</w:t>
            </w:r>
            <w:proofErr w:type="spellEnd"/>
            <w:r w:rsidRPr="002072C1">
              <w:t xml:space="preserve"> and </w:t>
            </w:r>
            <w:proofErr w:type="spellStart"/>
            <w:r w:rsidRPr="002072C1">
              <w:t>Competition</w:t>
            </w:r>
            <w:proofErr w:type="spellEnd"/>
            <w:r w:rsidRPr="002072C1">
              <w:t xml:space="preserve"> Law, 52(9), 1143–1160.</w:t>
            </w:r>
          </w:p>
        </w:tc>
      </w:tr>
      <w:tr w:rsidR="00FA1A5D" w:rsidRPr="00830D3F" w14:paraId="16661DD4" w14:textId="77777777" w:rsidTr="000A7230">
        <w:trPr>
          <w:trHeight w:val="290"/>
        </w:trPr>
        <w:tc>
          <w:tcPr>
            <w:tcW w:w="486" w:type="dxa"/>
            <w:noWrap/>
          </w:tcPr>
          <w:p w14:paraId="2BE2DB62" w14:textId="77777777" w:rsidR="00FA1A5D" w:rsidRPr="00830D3F" w:rsidRDefault="00FA1A5D" w:rsidP="000A7230">
            <w:r>
              <w:t>8</w:t>
            </w:r>
          </w:p>
        </w:tc>
        <w:tc>
          <w:tcPr>
            <w:tcW w:w="1334" w:type="dxa"/>
            <w:noWrap/>
          </w:tcPr>
          <w:p w14:paraId="39070842" w14:textId="0B2489EA" w:rsidR="00FA1A5D" w:rsidRPr="00830D3F" w:rsidRDefault="006F4602" w:rsidP="000A7230">
            <w:r w:rsidRPr="00830D3F">
              <w:t>Zimmermann</w:t>
            </w:r>
          </w:p>
        </w:tc>
        <w:tc>
          <w:tcPr>
            <w:tcW w:w="1152" w:type="dxa"/>
            <w:noWrap/>
          </w:tcPr>
          <w:p w14:paraId="5DD494A8" w14:textId="77777777" w:rsidR="00FA1A5D" w:rsidRDefault="00FA1A5D" w:rsidP="000A7230">
            <w:r>
              <w:t>Maria</w:t>
            </w:r>
          </w:p>
        </w:tc>
        <w:tc>
          <w:tcPr>
            <w:tcW w:w="5670" w:type="dxa"/>
          </w:tcPr>
          <w:p w14:paraId="3F57D237" w14:textId="77777777" w:rsidR="00FA1A5D" w:rsidRDefault="00FA1A5D" w:rsidP="000A7230">
            <w:r>
              <w:t xml:space="preserve">Zimmermann, M., Mostowski, P., Rutkowski, P., Tomaszewski, P., Krzysztofiak, P., Jednoróg, K., &amp; Szwed, M. (2021). The </w:t>
            </w:r>
            <w:proofErr w:type="spellStart"/>
            <w:r>
              <w:t>extent</w:t>
            </w:r>
            <w:proofErr w:type="spellEnd"/>
            <w:r>
              <w:t xml:space="preserve"> of</w:t>
            </w:r>
          </w:p>
          <w:p w14:paraId="27285203" w14:textId="77777777" w:rsidR="00FA1A5D" w:rsidRDefault="00FA1A5D" w:rsidP="000A7230"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specificity</w:t>
            </w:r>
            <w:proofErr w:type="spellEnd"/>
            <w:r>
              <w:t xml:space="preserve"> for </w:t>
            </w:r>
            <w:proofErr w:type="spellStart"/>
            <w:r>
              <w:t>visual</w:t>
            </w:r>
            <w:proofErr w:type="spellEnd"/>
            <w:r>
              <w:t xml:space="preserve"> and </w:t>
            </w:r>
            <w:proofErr w:type="spellStart"/>
            <w:r>
              <w:t>tactile</w:t>
            </w:r>
            <w:proofErr w:type="spellEnd"/>
            <w:r>
              <w:t xml:space="preserve"> </w:t>
            </w:r>
            <w:proofErr w:type="spellStart"/>
            <w:r>
              <w:t>sequences</w:t>
            </w:r>
            <w:proofErr w:type="spellEnd"/>
            <w:r>
              <w:t xml:space="preserve"> in the </w:t>
            </w:r>
            <w:proofErr w:type="spellStart"/>
            <w:r>
              <w:t>auditory</w:t>
            </w:r>
            <w:proofErr w:type="spellEnd"/>
            <w:r>
              <w:t xml:space="preserve"> </w:t>
            </w:r>
            <w:proofErr w:type="spellStart"/>
            <w:r>
              <w:t>cortex</w:t>
            </w:r>
            <w:proofErr w:type="spellEnd"/>
            <w:r>
              <w:t xml:space="preserve"> of the </w:t>
            </w:r>
            <w:proofErr w:type="spellStart"/>
            <w:r>
              <w:t>deaf</w:t>
            </w:r>
            <w:proofErr w:type="spellEnd"/>
            <w:r>
              <w:t xml:space="preserve"> and hard of </w:t>
            </w:r>
            <w:proofErr w:type="spellStart"/>
            <w:r>
              <w:t>hearing</w:t>
            </w:r>
            <w:proofErr w:type="spellEnd"/>
            <w:r>
              <w:t xml:space="preserve">. </w:t>
            </w:r>
            <w:proofErr w:type="spellStart"/>
            <w:r>
              <w:t>Journal</w:t>
            </w:r>
            <w:proofErr w:type="spellEnd"/>
            <w:r>
              <w:t xml:space="preserve"> of </w:t>
            </w:r>
            <w:proofErr w:type="spellStart"/>
            <w:r>
              <w:t>Neuroscience</w:t>
            </w:r>
            <w:proofErr w:type="spellEnd"/>
            <w:r>
              <w:t>,</w:t>
            </w:r>
          </w:p>
          <w:p w14:paraId="50DF023F" w14:textId="77777777" w:rsidR="00FA1A5D" w:rsidRDefault="00FA1A5D" w:rsidP="000A7230">
            <w:r>
              <w:t>41(47), 9720-9731.</w:t>
            </w:r>
          </w:p>
        </w:tc>
      </w:tr>
      <w:tr w:rsidR="00FA1A5D" w:rsidRPr="00830D3F" w14:paraId="34562649" w14:textId="77777777" w:rsidTr="000A7230">
        <w:trPr>
          <w:trHeight w:val="290"/>
        </w:trPr>
        <w:tc>
          <w:tcPr>
            <w:tcW w:w="8642" w:type="dxa"/>
            <w:gridSpan w:val="4"/>
            <w:noWrap/>
          </w:tcPr>
          <w:p w14:paraId="669319EA" w14:textId="77777777" w:rsidR="00FA1A5D" w:rsidRPr="008B4EAE" w:rsidRDefault="00FA1A5D" w:rsidP="000A7230">
            <w:pPr>
              <w:jc w:val="center"/>
              <w:rPr>
                <w:b/>
                <w:bCs/>
              </w:rPr>
            </w:pPr>
            <w:r w:rsidRPr="008B4EAE">
              <w:rPr>
                <w:b/>
                <w:bCs/>
              </w:rPr>
              <w:t>Nagroda za 2020 rok</w:t>
            </w:r>
          </w:p>
        </w:tc>
      </w:tr>
      <w:tr w:rsidR="00FA1A5D" w:rsidRPr="00830D3F" w14:paraId="0C473FE8" w14:textId="77777777" w:rsidTr="000A7230">
        <w:trPr>
          <w:trHeight w:val="290"/>
        </w:trPr>
        <w:tc>
          <w:tcPr>
            <w:tcW w:w="486" w:type="dxa"/>
            <w:noWrap/>
          </w:tcPr>
          <w:p w14:paraId="68079728" w14:textId="77777777" w:rsidR="00FA1A5D" w:rsidRPr="00830D3F" w:rsidRDefault="00FA1A5D" w:rsidP="000A7230">
            <w:r>
              <w:t>1</w:t>
            </w:r>
          </w:p>
        </w:tc>
        <w:tc>
          <w:tcPr>
            <w:tcW w:w="1334" w:type="dxa"/>
            <w:noWrap/>
          </w:tcPr>
          <w:p w14:paraId="063ED52B" w14:textId="77777777" w:rsidR="00FA1A5D" w:rsidRPr="00830D3F" w:rsidRDefault="00FA1A5D" w:rsidP="000A7230">
            <w:r>
              <w:t>Daniel</w:t>
            </w:r>
          </w:p>
        </w:tc>
        <w:tc>
          <w:tcPr>
            <w:tcW w:w="1152" w:type="dxa"/>
            <w:noWrap/>
          </w:tcPr>
          <w:p w14:paraId="33847ADC" w14:textId="77777777" w:rsidR="00FA1A5D" w:rsidRDefault="00FA1A5D" w:rsidP="000A7230">
            <w:proofErr w:type="spellStart"/>
            <w:r w:rsidRPr="008B4EAE">
              <w:t>Štraub</w:t>
            </w:r>
            <w:proofErr w:type="spellEnd"/>
          </w:p>
        </w:tc>
        <w:tc>
          <w:tcPr>
            <w:tcW w:w="5670" w:type="dxa"/>
          </w:tcPr>
          <w:p w14:paraId="7C6A1226" w14:textId="77777777" w:rsidR="00FA1A5D" w:rsidRDefault="00FA1A5D" w:rsidP="000A7230">
            <w:proofErr w:type="spellStart"/>
            <w:r w:rsidRPr="002D07B4">
              <w:t>Štraub</w:t>
            </w:r>
            <w:proofErr w:type="spellEnd"/>
            <w:r w:rsidRPr="002D07B4">
              <w:t xml:space="preserve">, D. The </w:t>
            </w:r>
            <w:proofErr w:type="spellStart"/>
            <w:r w:rsidRPr="002D07B4">
              <w:t>Effects</w:t>
            </w:r>
            <w:proofErr w:type="spellEnd"/>
            <w:r w:rsidRPr="002D07B4">
              <w:t xml:space="preserve"> of </w:t>
            </w:r>
            <w:proofErr w:type="spellStart"/>
            <w:r w:rsidRPr="002D07B4">
              <w:t>Fare-Free</w:t>
            </w:r>
            <w:proofErr w:type="spellEnd"/>
            <w:r w:rsidRPr="002D07B4">
              <w:t xml:space="preserve"> Public Transport: A </w:t>
            </w:r>
            <w:proofErr w:type="spellStart"/>
            <w:r w:rsidRPr="002D07B4">
              <w:t>Lesson</w:t>
            </w:r>
            <w:proofErr w:type="spellEnd"/>
            <w:r w:rsidRPr="002D07B4">
              <w:t xml:space="preserve"> from </w:t>
            </w:r>
            <w:proofErr w:type="spellStart"/>
            <w:r w:rsidRPr="002D07B4">
              <w:t>Frýdek-Místek</w:t>
            </w:r>
            <w:proofErr w:type="spellEnd"/>
            <w:r w:rsidRPr="002D07B4">
              <w:t xml:space="preserve"> (</w:t>
            </w:r>
            <w:proofErr w:type="spellStart"/>
            <w:r w:rsidRPr="002D07B4">
              <w:t>Czechia</w:t>
            </w:r>
            <w:proofErr w:type="spellEnd"/>
            <w:r w:rsidRPr="002D07B4">
              <w:t xml:space="preserve">). </w:t>
            </w:r>
            <w:proofErr w:type="spellStart"/>
            <w:r w:rsidRPr="002D07B4">
              <w:t>Sustainability</w:t>
            </w:r>
            <w:proofErr w:type="spellEnd"/>
            <w:r w:rsidRPr="002D07B4">
              <w:t xml:space="preserve"> 2020, 12, 9111.</w:t>
            </w:r>
          </w:p>
        </w:tc>
      </w:tr>
    </w:tbl>
    <w:p w14:paraId="52387401" w14:textId="77777777" w:rsidR="00FA1A5D" w:rsidRDefault="00FA1A5D" w:rsidP="00FA1A5D">
      <w:pPr>
        <w:jc w:val="center"/>
      </w:pPr>
    </w:p>
    <w:p w14:paraId="0DF7DBEE" w14:textId="77777777" w:rsidR="00FA1A5D" w:rsidRPr="002F52EC" w:rsidRDefault="00FA1A5D" w:rsidP="002F52EC">
      <w:pPr>
        <w:jc w:val="center"/>
      </w:pPr>
    </w:p>
    <w:sectPr w:rsidR="00FA1A5D" w:rsidRPr="002F52EC" w:rsidSect="003E5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3F"/>
    <w:rsid w:val="00066BC4"/>
    <w:rsid w:val="001232EA"/>
    <w:rsid w:val="002072C1"/>
    <w:rsid w:val="002D07B4"/>
    <w:rsid w:val="002F52EC"/>
    <w:rsid w:val="00304579"/>
    <w:rsid w:val="00314562"/>
    <w:rsid w:val="003E5C34"/>
    <w:rsid w:val="00491A0B"/>
    <w:rsid w:val="0060568A"/>
    <w:rsid w:val="00673C88"/>
    <w:rsid w:val="006A1054"/>
    <w:rsid w:val="006F4602"/>
    <w:rsid w:val="007F6229"/>
    <w:rsid w:val="00830D3F"/>
    <w:rsid w:val="008B4EAE"/>
    <w:rsid w:val="008E40DF"/>
    <w:rsid w:val="00997A0C"/>
    <w:rsid w:val="009E5B79"/>
    <w:rsid w:val="00B50FE7"/>
    <w:rsid w:val="00B91530"/>
    <w:rsid w:val="00BA1523"/>
    <w:rsid w:val="00BD62DE"/>
    <w:rsid w:val="00C579C2"/>
    <w:rsid w:val="00CB24A9"/>
    <w:rsid w:val="00CB3E13"/>
    <w:rsid w:val="00CD6A4D"/>
    <w:rsid w:val="00D011C4"/>
    <w:rsid w:val="00D543B3"/>
    <w:rsid w:val="00FA1A5D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685DB"/>
  <w15:chartTrackingRefBased/>
  <w15:docId w15:val="{9E77BA82-A917-489B-814A-7FAE84B9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3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2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Kotlarz</dc:creator>
  <cp:keywords/>
  <dc:description/>
  <cp:lastModifiedBy>Joanna Kotlarz</cp:lastModifiedBy>
  <cp:revision>2</cp:revision>
  <dcterms:created xsi:type="dcterms:W3CDTF">2022-06-14T09:06:00Z</dcterms:created>
  <dcterms:modified xsi:type="dcterms:W3CDTF">2022-06-14T09:06:00Z</dcterms:modified>
</cp:coreProperties>
</file>