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CECA" w14:textId="77777777" w:rsidR="00EB3B4F" w:rsidRPr="006A493B" w:rsidRDefault="00EB3B4F" w:rsidP="00EB3B4F">
      <w:pPr>
        <w:pStyle w:val="Nagwek"/>
        <w:jc w:val="right"/>
        <w:rPr>
          <w:rFonts w:ascii="Georgia" w:hAnsi="Georgia"/>
          <w:lang w:val="pl-PL"/>
        </w:rPr>
      </w:pPr>
    </w:p>
    <w:p w14:paraId="4209D3A8" w14:textId="77777777" w:rsidR="00542B38" w:rsidRPr="006A493B" w:rsidRDefault="00542B38" w:rsidP="00EB3B4F">
      <w:pPr>
        <w:pStyle w:val="Nagwek"/>
        <w:jc w:val="center"/>
        <w:rPr>
          <w:rFonts w:ascii="Georgia" w:hAnsi="Georgia"/>
          <w:b/>
          <w:lang w:val="en-GB"/>
        </w:rPr>
      </w:pPr>
      <w:r w:rsidRPr="006A493B">
        <w:rPr>
          <w:rFonts w:ascii="Georgia" w:hAnsi="Georgia"/>
          <w:b/>
          <w:lang w:val="en-GB"/>
        </w:rPr>
        <w:t xml:space="preserve">Syllabus of an educational component of a degree programme </w:t>
      </w:r>
    </w:p>
    <w:p w14:paraId="0E09AE53" w14:textId="77777777" w:rsidR="00EB3B4F" w:rsidRPr="006A493B" w:rsidRDefault="00EB3B4F" w:rsidP="00EB3B4F">
      <w:pPr>
        <w:pStyle w:val="Nagwek"/>
        <w:jc w:val="right"/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7020"/>
      </w:tblGrid>
      <w:tr w:rsidR="00EB3B4F" w:rsidRPr="00CF53D8" w14:paraId="02CABA2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7154E9" w14:textId="77777777" w:rsidR="00542B38" w:rsidRPr="006A493B" w:rsidRDefault="00542B38" w:rsidP="00891FE6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val="en-GB"/>
              </w:rPr>
            </w:pPr>
            <w:r w:rsidRPr="006A493B">
              <w:rPr>
                <w:rFonts w:ascii="Georgia" w:eastAsia="Calibri" w:hAnsi="Georgia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2AD32F4F" w14:textId="77777777" w:rsidR="00EB3B4F" w:rsidRPr="006A493B" w:rsidRDefault="00793025" w:rsidP="00EE0101">
            <w:pPr>
              <w:rPr>
                <w:rFonts w:ascii="Georgia" w:eastAsia="Calibri" w:hAnsi="Georgia"/>
                <w:b/>
                <w:i/>
                <w:lang w:val="en-GB"/>
              </w:rPr>
            </w:pPr>
            <w:r w:rsidRPr="006A493B">
              <w:rPr>
                <w:rFonts w:ascii="Georgia" w:eastAsia="Calibri" w:hAnsi="Georgia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CF53D8" w14:paraId="5361CAF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65506F9" w14:textId="77777777" w:rsidR="00542B38" w:rsidRPr="006A493B" w:rsidRDefault="00542B38" w:rsidP="00542B38">
            <w:pPr>
              <w:rPr>
                <w:rFonts w:ascii="Georgia" w:eastAsia="Calibri" w:hAnsi="Georgia" w:cs="Times New Roman"/>
                <w:sz w:val="24"/>
                <w:szCs w:val="24"/>
                <w:lang w:val="en-GB"/>
              </w:rPr>
            </w:pPr>
            <w:r w:rsidRPr="006A493B">
              <w:rPr>
                <w:rFonts w:ascii="Georgia" w:eastAsia="Calibri" w:hAnsi="Georgia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76F941E4" w14:textId="2D7D4C67" w:rsidR="00EB3B4F" w:rsidRPr="006A493B" w:rsidRDefault="007F08B4" w:rsidP="00EE0101">
            <w:pPr>
              <w:rPr>
                <w:rFonts w:ascii="Georgia" w:eastAsia="Calibri" w:hAnsi="Georgia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The Politics of Culture: themes, debates, and trends</w:t>
            </w:r>
          </w:p>
        </w:tc>
      </w:tr>
      <w:tr w:rsidR="00EB3B4F" w:rsidRPr="006A493B" w14:paraId="77216F7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9B3C7AF" w14:textId="77777777" w:rsidR="00542B38" w:rsidRPr="006A493B" w:rsidRDefault="00542B38" w:rsidP="00891FE6">
            <w:pPr>
              <w:rPr>
                <w:rFonts w:ascii="Georgia" w:eastAsia="Calibri" w:hAnsi="Georgia" w:cs="Times New Roman"/>
                <w:sz w:val="24"/>
                <w:szCs w:val="24"/>
                <w:lang w:val="en-GB"/>
              </w:rPr>
            </w:pPr>
            <w:r w:rsidRPr="006A493B">
              <w:rPr>
                <w:rFonts w:ascii="Georgia" w:eastAsia="Calibri" w:hAnsi="Georgia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6A493B">
              <w:rPr>
                <w:rFonts w:ascii="Georgia" w:eastAsia="Calibri" w:hAnsi="Georgia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310064A2" w14:textId="77777777" w:rsidR="00EB3B4F" w:rsidRPr="006A493B" w:rsidRDefault="00823CD8" w:rsidP="00EE0101">
            <w:pPr>
              <w:rPr>
                <w:rFonts w:ascii="Georgia" w:eastAsia="Calibri" w:hAnsi="Georgia"/>
                <w:lang w:val="en-GB"/>
              </w:rPr>
            </w:pPr>
            <w:r w:rsidRPr="006A493B">
              <w:rPr>
                <w:rFonts w:ascii="Georgia" w:eastAsia="Calibri" w:hAnsi="Georgia"/>
                <w:lang w:val="en-GB"/>
              </w:rPr>
              <w:t>English</w:t>
            </w:r>
          </w:p>
        </w:tc>
      </w:tr>
      <w:tr w:rsidR="00EB3B4F" w:rsidRPr="00CF53D8" w14:paraId="6003DCD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8BD4506" w14:textId="77777777" w:rsidR="00542B38" w:rsidRPr="006A493B" w:rsidRDefault="00542B38" w:rsidP="00EE0101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val="en-US"/>
              </w:rPr>
            </w:pPr>
            <w:r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1C2A2FB8" w14:textId="5279142D" w:rsidR="00595EA0" w:rsidRPr="006A493B" w:rsidRDefault="007F08B4" w:rsidP="00595EA0">
            <w:pPr>
              <w:rPr>
                <w:rFonts w:ascii="Georgia" w:hAnsi="Georgia"/>
                <w:color w:val="000000"/>
                <w:lang w:val="en-US"/>
              </w:rPr>
            </w:pPr>
            <w:r w:rsidRPr="006A493B">
              <w:rPr>
                <w:rFonts w:ascii="Georgia" w:hAnsi="Georgia"/>
                <w:color w:val="000000"/>
                <w:lang w:val="en-US"/>
              </w:rPr>
              <w:t>To examine the relationship between culture and politics.</w:t>
            </w:r>
          </w:p>
          <w:p w14:paraId="5FCCA4BF" w14:textId="6DDC1BD2" w:rsidR="007F08B4" w:rsidRPr="006A493B" w:rsidRDefault="007F08B4" w:rsidP="00595EA0">
            <w:pPr>
              <w:rPr>
                <w:rFonts w:ascii="Georgia" w:hAnsi="Georgia"/>
                <w:color w:val="000000"/>
                <w:lang w:val="en-US"/>
              </w:rPr>
            </w:pPr>
            <w:r w:rsidRPr="006A493B">
              <w:rPr>
                <w:rFonts w:ascii="Georgia" w:hAnsi="Georgia"/>
                <w:color w:val="000000"/>
                <w:lang w:val="en-US"/>
              </w:rPr>
              <w:t>To enable students to discuss political themes in popular cultural works.</w:t>
            </w:r>
          </w:p>
          <w:p w14:paraId="700DE47F" w14:textId="47077129" w:rsidR="007F08B4" w:rsidRPr="006A493B" w:rsidRDefault="007F08B4" w:rsidP="00595EA0">
            <w:pPr>
              <w:rPr>
                <w:rFonts w:ascii="Georgia" w:eastAsia="Calibri" w:hAnsi="Georgia"/>
                <w:lang w:val="en-US"/>
              </w:rPr>
            </w:pPr>
            <w:r w:rsidRPr="006A493B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To introduce to the students a range of methods, including semiotics, content analysis, psychoanalysis, discourse analysis, and audience studies, among others drawn from the fields of linguistics, psychology, media</w:t>
            </w:r>
            <w:r w:rsidR="006A493B" w:rsidRPr="006A493B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,</w:t>
            </w:r>
            <w:r w:rsidRPr="006A493B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 xml:space="preserve"> and cultural studies that will be useful for the analysis of politics later in their degree.</w:t>
            </w:r>
          </w:p>
        </w:tc>
      </w:tr>
      <w:tr w:rsidR="00EB3B4F" w:rsidRPr="00CF53D8" w14:paraId="5DBC868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F3CE686" w14:textId="77777777" w:rsidR="00542B38" w:rsidRPr="006A493B" w:rsidRDefault="00542B38" w:rsidP="00542B38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val="en-US"/>
              </w:rPr>
            </w:pPr>
            <w:r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46CAACC9" w14:textId="77777777" w:rsidR="00823CD8" w:rsidRPr="006A493B" w:rsidRDefault="00C22BE6" w:rsidP="00EE0101">
            <w:pPr>
              <w:rPr>
                <w:rFonts w:ascii="Georgia" w:eastAsia="Calibri" w:hAnsi="Georgia"/>
                <w:lang w:val="en-US"/>
              </w:rPr>
            </w:pPr>
            <w:r w:rsidRPr="006A493B">
              <w:rPr>
                <w:rFonts w:ascii="Georgia" w:eastAsia="Calibri" w:hAnsi="Georgia"/>
                <w:lang w:val="en-US"/>
              </w:rPr>
              <w:t>Understanding popular cultural products as political media.</w:t>
            </w:r>
          </w:p>
          <w:p w14:paraId="7AA25827" w14:textId="77777777" w:rsidR="00C22BE6" w:rsidRPr="006A493B" w:rsidRDefault="00C22BE6" w:rsidP="00EE0101">
            <w:pPr>
              <w:rPr>
                <w:rFonts w:ascii="Georgia" w:eastAsia="Calibri" w:hAnsi="Georgia"/>
                <w:lang w:val="en-US"/>
              </w:rPr>
            </w:pPr>
            <w:r w:rsidRPr="006A493B">
              <w:rPr>
                <w:rFonts w:ascii="Georgia" w:eastAsia="Calibri" w:hAnsi="Georgia"/>
                <w:lang w:val="en-US"/>
              </w:rPr>
              <w:t xml:space="preserve">Familiarity with research methods to </w:t>
            </w:r>
            <w:proofErr w:type="spellStart"/>
            <w:r w:rsidRPr="006A493B">
              <w:rPr>
                <w:rFonts w:ascii="Georgia" w:eastAsia="Calibri" w:hAnsi="Georgia"/>
                <w:lang w:val="en-US"/>
              </w:rPr>
              <w:t>analyse</w:t>
            </w:r>
            <w:proofErr w:type="spellEnd"/>
            <w:r w:rsidRPr="006A493B">
              <w:rPr>
                <w:rFonts w:ascii="Georgia" w:eastAsia="Calibri" w:hAnsi="Georgia"/>
                <w:lang w:val="en-US"/>
              </w:rPr>
              <w:t xml:space="preserve"> popular cultural products such as films or television programs.</w:t>
            </w:r>
          </w:p>
          <w:p w14:paraId="2E646D29" w14:textId="7CFB52E5" w:rsidR="00C22BE6" w:rsidRPr="006A493B" w:rsidRDefault="00C22BE6" w:rsidP="00EE0101">
            <w:pPr>
              <w:rPr>
                <w:rFonts w:ascii="Georgia" w:eastAsia="Calibri" w:hAnsi="Georgia"/>
                <w:lang w:val="en-US"/>
              </w:rPr>
            </w:pPr>
            <w:r w:rsidRPr="006A493B">
              <w:rPr>
                <w:rFonts w:ascii="Georgia" w:eastAsia="Calibri" w:hAnsi="Georgia"/>
                <w:lang w:val="en-US"/>
              </w:rPr>
              <w:t xml:space="preserve">An overall understanding of the history of popular culture as </w:t>
            </w:r>
            <w:r w:rsidR="00416885" w:rsidRPr="006A493B">
              <w:rPr>
                <w:rFonts w:ascii="Georgia" w:eastAsia="Calibri" w:hAnsi="Georgia"/>
                <w:lang w:val="en-US"/>
              </w:rPr>
              <w:t>a vehicle of politics</w:t>
            </w:r>
          </w:p>
        </w:tc>
      </w:tr>
      <w:tr w:rsidR="00EB3B4F" w:rsidRPr="00CF53D8" w14:paraId="6ACB03A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80B6B7" w14:textId="77777777" w:rsidR="00542B38" w:rsidRPr="006A493B" w:rsidRDefault="00542B38" w:rsidP="00891FE6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val="en-US"/>
              </w:rPr>
            </w:pPr>
            <w:r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student</w:t>
            </w:r>
            <w:r w:rsidR="00891FE6"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30D9CA58" w14:textId="77777777" w:rsidR="00EB3B4F" w:rsidRPr="006A493B" w:rsidRDefault="00416885" w:rsidP="00416885">
            <w:pPr>
              <w:spacing w:after="0" w:line="240" w:lineRule="auto"/>
              <w:jc w:val="both"/>
              <w:rPr>
                <w:rFonts w:ascii="Georgia" w:eastAsia="Calibri" w:hAnsi="Georgia"/>
                <w:lang w:val="en-GB"/>
              </w:rPr>
            </w:pPr>
            <w:r w:rsidRPr="006A493B">
              <w:rPr>
                <w:rFonts w:ascii="Georgia" w:eastAsia="Calibri" w:hAnsi="Georgia"/>
                <w:lang w:val="en-GB"/>
              </w:rPr>
              <w:t>Short essay (1500 words) – mid-term</w:t>
            </w:r>
          </w:p>
          <w:p w14:paraId="78EE58A1" w14:textId="1DECA113" w:rsidR="00416885" w:rsidRPr="006A493B" w:rsidRDefault="00416885" w:rsidP="00416885">
            <w:pPr>
              <w:spacing w:after="0" w:line="240" w:lineRule="auto"/>
              <w:jc w:val="both"/>
              <w:rPr>
                <w:rFonts w:ascii="Georgia" w:eastAsia="Calibri" w:hAnsi="Georgia"/>
                <w:lang w:val="en-GB"/>
              </w:rPr>
            </w:pPr>
            <w:r w:rsidRPr="006A493B">
              <w:rPr>
                <w:rFonts w:ascii="Georgia" w:eastAsia="Calibri" w:hAnsi="Georgia"/>
                <w:lang w:val="en-GB"/>
              </w:rPr>
              <w:t xml:space="preserve">Long essay (3000 words) – end-term </w:t>
            </w:r>
          </w:p>
        </w:tc>
      </w:tr>
      <w:tr w:rsidR="00EB3B4F" w:rsidRPr="006A493B" w14:paraId="7B1DA9B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9575477" w14:textId="77777777" w:rsidR="00542B38" w:rsidRPr="006A493B" w:rsidRDefault="00542B38" w:rsidP="00EE0101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val="en-US"/>
              </w:rPr>
            </w:pPr>
            <w:r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76502162" w14:textId="689E53AA" w:rsidR="00EB3B4F" w:rsidRPr="006A493B" w:rsidRDefault="00416885" w:rsidP="00EE0101">
            <w:pPr>
              <w:rPr>
                <w:rFonts w:ascii="Georgia" w:eastAsia="Calibri" w:hAnsi="Georgia"/>
                <w:lang w:val="en-US"/>
              </w:rPr>
            </w:pPr>
            <w:r w:rsidRPr="006A493B">
              <w:rPr>
                <w:rFonts w:ascii="Georgia" w:eastAsia="Calibri" w:hAnsi="Georgia"/>
                <w:lang w:val="en-US"/>
              </w:rPr>
              <w:t>O</w:t>
            </w:r>
            <w:r w:rsidR="00CF53D8">
              <w:rPr>
                <w:rFonts w:ascii="Georgia" w:eastAsia="Calibri" w:hAnsi="Georgia"/>
                <w:lang w:val="en-US"/>
              </w:rPr>
              <w:t>ptional</w:t>
            </w:r>
          </w:p>
        </w:tc>
      </w:tr>
      <w:tr w:rsidR="00EB3B4F" w:rsidRPr="006A493B" w14:paraId="57E366F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C0551F6" w14:textId="77777777" w:rsidR="00542B38" w:rsidRPr="006A493B" w:rsidRDefault="00542B38" w:rsidP="00EE0101">
            <w:pPr>
              <w:rPr>
                <w:rFonts w:ascii="Georgia" w:eastAsia="Calibri" w:hAnsi="Georgia" w:cs="Times New Roman"/>
                <w:sz w:val="24"/>
                <w:szCs w:val="24"/>
                <w:lang w:val="en-GB"/>
              </w:rPr>
            </w:pPr>
            <w:r w:rsidRPr="006A493B">
              <w:rPr>
                <w:rFonts w:ascii="Georgia" w:eastAsia="Calibri" w:hAnsi="Georgia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33261AEB" w14:textId="66BD1D62" w:rsidR="00EB3B4F" w:rsidRPr="006A493B" w:rsidRDefault="00416885" w:rsidP="00EE0101">
            <w:pPr>
              <w:rPr>
                <w:rFonts w:ascii="Georgia" w:eastAsia="Calibri" w:hAnsi="Georgia"/>
                <w:lang w:val="en-GB"/>
              </w:rPr>
            </w:pPr>
            <w:r w:rsidRPr="006A493B">
              <w:rPr>
                <w:rFonts w:ascii="Georgia" w:eastAsia="Calibri" w:hAnsi="Georgia"/>
                <w:lang w:val="en-GB"/>
              </w:rPr>
              <w:t>2022</w:t>
            </w:r>
          </w:p>
        </w:tc>
      </w:tr>
      <w:tr w:rsidR="00EB3B4F" w:rsidRPr="006A493B" w14:paraId="1E40DF3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9F1D10B" w14:textId="77777777" w:rsidR="00542B38" w:rsidRPr="006A493B" w:rsidRDefault="002D6A36" w:rsidP="002D6A36">
            <w:pPr>
              <w:tabs>
                <w:tab w:val="center" w:pos="1650"/>
              </w:tabs>
              <w:rPr>
                <w:rFonts w:ascii="Georgia" w:eastAsia="Calibri" w:hAnsi="Georgia" w:cs="Times New Roman"/>
                <w:sz w:val="24"/>
                <w:szCs w:val="24"/>
                <w:lang w:val="en-GB"/>
              </w:rPr>
            </w:pPr>
            <w:r w:rsidRPr="006A493B">
              <w:rPr>
                <w:rFonts w:ascii="Georgia" w:eastAsia="Calibri" w:hAnsi="Georgia" w:cs="Times New Roman"/>
                <w:sz w:val="24"/>
                <w:szCs w:val="24"/>
                <w:lang w:val="en-GB"/>
              </w:rPr>
              <w:t>S</w:t>
            </w:r>
            <w:r w:rsidR="00542B38" w:rsidRPr="006A493B">
              <w:rPr>
                <w:rFonts w:ascii="Georgia" w:eastAsia="Calibri" w:hAnsi="Georgia" w:cs="Times New Roman"/>
                <w:sz w:val="24"/>
                <w:szCs w:val="24"/>
                <w:lang w:val="en-GB"/>
              </w:rPr>
              <w:t>emester</w:t>
            </w:r>
            <w:r w:rsidRPr="006A493B">
              <w:rPr>
                <w:rFonts w:ascii="Georgia" w:eastAsia="Calibri" w:hAnsi="Georgia" w:cs="Times New Roman"/>
                <w:sz w:val="24"/>
                <w:szCs w:val="24"/>
                <w:lang w:val="en-GB"/>
              </w:rPr>
              <w:t xml:space="preserve"> </w:t>
            </w:r>
            <w:r w:rsidRPr="006A493B">
              <w:rPr>
                <w:rFonts w:ascii="Georgia" w:eastAsia="Calibri" w:hAnsi="Georgia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5CED7F7E" w14:textId="0C62C54C" w:rsidR="00EB3B4F" w:rsidRPr="006A493B" w:rsidRDefault="00793025" w:rsidP="00EE0101">
            <w:pPr>
              <w:rPr>
                <w:rFonts w:ascii="Georgia" w:eastAsia="Calibri" w:hAnsi="Georgia"/>
                <w:lang w:val="en-GB"/>
              </w:rPr>
            </w:pPr>
            <w:r w:rsidRPr="006A493B">
              <w:rPr>
                <w:rFonts w:ascii="Georgia" w:eastAsia="Calibri" w:hAnsi="Georgia"/>
                <w:lang w:val="en-GB"/>
              </w:rPr>
              <w:t>Winter</w:t>
            </w:r>
          </w:p>
        </w:tc>
      </w:tr>
      <w:tr w:rsidR="00EB3B4F" w:rsidRPr="006A493B" w14:paraId="0D25BE4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9BFFDAC" w14:textId="77777777" w:rsidR="00542B38" w:rsidRPr="006A493B" w:rsidRDefault="00542B38" w:rsidP="00AC38E9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lang w:val="en-US"/>
              </w:rPr>
            </w:pPr>
            <w:r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 xml:space="preserve">Name and surname of the </w:t>
            </w:r>
            <w:r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lastRenderedPageBreak/>
              <w:t xml:space="preserve">coordinator of a component </w:t>
            </w:r>
            <w:r w:rsidR="00AC38E9"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15738E46" w14:textId="5DEB8CD4" w:rsidR="00EB3B4F" w:rsidRPr="006A493B" w:rsidRDefault="00416885" w:rsidP="00EE0101">
            <w:pPr>
              <w:rPr>
                <w:rFonts w:ascii="Georgia" w:eastAsia="Calibri" w:hAnsi="Georgia"/>
                <w:lang w:val="en-US"/>
              </w:rPr>
            </w:pPr>
            <w:r w:rsidRPr="006A493B">
              <w:rPr>
                <w:rFonts w:ascii="Georgia" w:eastAsia="Calibri" w:hAnsi="Georgia"/>
                <w:lang w:val="en-US"/>
              </w:rPr>
              <w:lastRenderedPageBreak/>
              <w:t>Dr. Roshni Sengupta</w:t>
            </w:r>
          </w:p>
        </w:tc>
      </w:tr>
      <w:tr w:rsidR="00EB3B4F" w:rsidRPr="006A493B" w14:paraId="713F56F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C01F2D2" w14:textId="77777777" w:rsidR="00AC38E9" w:rsidRPr="006A493B" w:rsidRDefault="00AC38E9" w:rsidP="00AC38E9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  <w:lang w:val="en-US"/>
              </w:rPr>
            </w:pPr>
            <w:r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sposó</w:t>
            </w:r>
            <w:r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71CD6F9A" w14:textId="12BE1960" w:rsidR="00EB3B4F" w:rsidRPr="006A493B" w:rsidRDefault="00416885" w:rsidP="00EE0101">
            <w:pPr>
              <w:rPr>
                <w:rFonts w:ascii="Georgia" w:eastAsia="Calibri" w:hAnsi="Georgia"/>
                <w:lang w:val="en-US"/>
              </w:rPr>
            </w:pPr>
            <w:r w:rsidRPr="006A493B">
              <w:rPr>
                <w:rFonts w:ascii="Georgia" w:eastAsia="Calibri" w:hAnsi="Georgia"/>
                <w:lang w:val="en-US"/>
              </w:rPr>
              <w:t>Dr. Roshni Sengupta</w:t>
            </w:r>
          </w:p>
        </w:tc>
      </w:tr>
      <w:tr w:rsidR="00EB3B4F" w:rsidRPr="00CF53D8" w14:paraId="07378D4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F80A7D" w14:textId="77777777" w:rsidR="00AC38E9" w:rsidRPr="006A493B" w:rsidRDefault="00AC38E9" w:rsidP="00891FE6">
            <w:pPr>
              <w:rPr>
                <w:rFonts w:ascii="Georgia" w:eastAsia="Calibri" w:hAnsi="Georgia" w:cs="Times New Roman"/>
                <w:sz w:val="24"/>
                <w:szCs w:val="24"/>
                <w:lang w:val="en-GB"/>
              </w:rPr>
            </w:pPr>
            <w:r w:rsidRPr="006A493B">
              <w:rPr>
                <w:rFonts w:ascii="Georgia" w:eastAsia="Calibri" w:hAnsi="Georgia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6A493B">
              <w:rPr>
                <w:rFonts w:ascii="Georgia" w:eastAsia="Calibri" w:hAnsi="Georgia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6A493B">
              <w:rPr>
                <w:rFonts w:ascii="Georgia" w:eastAsia="Calibri" w:hAnsi="Georgia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37B71F46" w14:textId="5055936F" w:rsidR="00595EA0" w:rsidRPr="006A493B" w:rsidRDefault="00416885" w:rsidP="00EE0101">
            <w:pPr>
              <w:rPr>
                <w:rFonts w:ascii="Georgia" w:eastAsia="Calibri" w:hAnsi="Georgia"/>
                <w:lang w:val="en-GB"/>
              </w:rPr>
            </w:pPr>
            <w:r w:rsidRPr="006A493B">
              <w:rPr>
                <w:rFonts w:ascii="Georgia" w:eastAsia="Calibri" w:hAnsi="Georgia"/>
                <w:lang w:val="en-GB"/>
              </w:rPr>
              <w:t>Submission of both essays are obligatory to be considered for a final grade and course completion</w:t>
            </w:r>
          </w:p>
        </w:tc>
      </w:tr>
      <w:tr w:rsidR="00EB3B4F" w:rsidRPr="006A493B" w14:paraId="1315F3D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934D11C" w14:textId="77777777" w:rsidR="00AC38E9" w:rsidRPr="006A493B" w:rsidRDefault="00AC38E9" w:rsidP="00EE0101">
            <w:pPr>
              <w:rPr>
                <w:rFonts w:ascii="Georgia" w:eastAsia="Calibri" w:hAnsi="Georgia" w:cs="Times New Roman"/>
                <w:bCs/>
                <w:sz w:val="24"/>
                <w:szCs w:val="24"/>
                <w:lang w:val="en-GB"/>
              </w:rPr>
            </w:pPr>
            <w:r w:rsidRPr="006A493B">
              <w:rPr>
                <w:rFonts w:ascii="Georgia" w:eastAsia="Calibri" w:hAnsi="Georgia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7A470EF6" w14:textId="16B2F5B5" w:rsidR="00EB3B4F" w:rsidRPr="006A493B" w:rsidRDefault="00EB3B4F" w:rsidP="00EE0101">
            <w:pPr>
              <w:rPr>
                <w:rFonts w:ascii="Georgia" w:eastAsia="Calibri" w:hAnsi="Georgia"/>
                <w:lang w:val="en-GB"/>
              </w:rPr>
            </w:pPr>
          </w:p>
        </w:tc>
      </w:tr>
      <w:tr w:rsidR="00EB3B4F" w:rsidRPr="006A493B" w14:paraId="134F949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C397945" w14:textId="77777777" w:rsidR="00AC38E9" w:rsidRPr="006A493B" w:rsidRDefault="00891FE6" w:rsidP="00AC38E9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  <w:szCs w:val="24"/>
                <w:lang w:val="en-US"/>
              </w:rPr>
            </w:pPr>
            <w:r w:rsidRPr="006A493B">
              <w:rPr>
                <w:rFonts w:ascii="Georgia" w:eastAsia="Calibri" w:hAnsi="Georgia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6A493B">
              <w:rPr>
                <w:rFonts w:ascii="Georgia" w:eastAsia="Calibri" w:hAnsi="Georgia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53EE1BF0" w14:textId="77777777" w:rsidR="00AC38E9" w:rsidRPr="006A493B" w:rsidRDefault="00AC38E9" w:rsidP="00AC38E9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  <w:szCs w:val="24"/>
                <w:lang w:val="en-US"/>
              </w:rPr>
            </w:pPr>
            <w:r w:rsidRPr="006A493B">
              <w:rPr>
                <w:rFonts w:ascii="Georgia" w:eastAsia="Calibri" w:hAnsi="Georgia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70B2B827" w14:textId="5DD4F2CC" w:rsidR="00CA1C9F" w:rsidRPr="006A493B" w:rsidRDefault="00416885" w:rsidP="00EE0101">
            <w:pPr>
              <w:rPr>
                <w:rFonts w:ascii="Georgia" w:eastAsia="Calibri" w:hAnsi="Georgia"/>
                <w:lang w:val="en-US"/>
              </w:rPr>
            </w:pPr>
            <w:r w:rsidRPr="006A493B">
              <w:rPr>
                <w:rFonts w:ascii="Georgia" w:eastAsia="Calibri" w:hAnsi="Georgia"/>
                <w:lang w:val="en-US"/>
              </w:rPr>
              <w:t>30</w:t>
            </w:r>
          </w:p>
        </w:tc>
      </w:tr>
      <w:tr w:rsidR="00EB3B4F" w:rsidRPr="006A493B" w14:paraId="033AAA6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F038E29" w14:textId="77777777" w:rsidR="00AC38E9" w:rsidRPr="00D94C74" w:rsidRDefault="00891FE6" w:rsidP="002D6A36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  <w:szCs w:val="24"/>
                <w:lang w:val="en-US"/>
              </w:rPr>
            </w:pPr>
            <w:r w:rsidRPr="00D94C74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Number</w:t>
            </w:r>
            <w:r w:rsidR="00AC38E9" w:rsidRPr="00D94C74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D94C74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assigned</w:t>
            </w:r>
            <w:r w:rsidR="00AC38E9" w:rsidRPr="00D94C74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7671B506" w14:textId="17E74461" w:rsidR="00EB3B4F" w:rsidRPr="00D94C74" w:rsidRDefault="00D94C74" w:rsidP="00EE0101">
            <w:pPr>
              <w:rPr>
                <w:rFonts w:ascii="Georgia" w:eastAsia="Calibri" w:hAnsi="Georgia"/>
                <w:iCs/>
                <w:lang w:val="en-US"/>
              </w:rPr>
            </w:pPr>
            <w:r w:rsidRPr="00D94C74">
              <w:rPr>
                <w:rFonts w:ascii="Georgia" w:eastAsia="Calibri" w:hAnsi="Georgia"/>
                <w:iCs/>
                <w:lang w:val="en-US"/>
              </w:rPr>
              <w:t>2</w:t>
            </w:r>
          </w:p>
        </w:tc>
      </w:tr>
      <w:tr w:rsidR="00EB3B4F" w:rsidRPr="006A493B" w14:paraId="3910199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CA7272C" w14:textId="77777777" w:rsidR="00AC38E9" w:rsidRPr="00D94C74" w:rsidRDefault="00AC38E9" w:rsidP="00EE0101">
            <w:pPr>
              <w:rPr>
                <w:rFonts w:ascii="Georgia" w:eastAsia="Calibri" w:hAnsi="Georgia" w:cs="Times New Roman"/>
                <w:bCs/>
                <w:sz w:val="24"/>
                <w:szCs w:val="24"/>
                <w:lang w:val="en-US"/>
              </w:rPr>
            </w:pPr>
            <w:r w:rsidRPr="00D94C74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4AB4A416" w14:textId="77777777" w:rsidR="00E45B95" w:rsidRDefault="00CF53D8" w:rsidP="00CA1C9F">
            <w:pPr>
              <w:rPr>
                <w:rFonts w:ascii="Georgia" w:eastAsia="Calibri" w:hAnsi="Georgia"/>
                <w:iCs/>
                <w:lang w:val="en-GB"/>
              </w:rPr>
            </w:pPr>
            <w:r>
              <w:rPr>
                <w:rFonts w:ascii="Georgia" w:eastAsia="Calibri" w:hAnsi="Georgia"/>
                <w:iCs/>
                <w:lang w:val="en-GB"/>
              </w:rPr>
              <w:t xml:space="preserve">1 – attendance </w:t>
            </w:r>
          </w:p>
          <w:p w14:paraId="3396BE52" w14:textId="5A1BF6F9" w:rsidR="00CF53D8" w:rsidRPr="00D94C74" w:rsidRDefault="00CF53D8" w:rsidP="00CA1C9F">
            <w:pPr>
              <w:rPr>
                <w:rFonts w:ascii="Georgia" w:eastAsia="Calibri" w:hAnsi="Georgia"/>
                <w:iCs/>
                <w:lang w:val="en-GB"/>
              </w:rPr>
            </w:pPr>
            <w:r>
              <w:rPr>
                <w:rFonts w:ascii="Georgia" w:eastAsia="Calibri" w:hAnsi="Georgia"/>
                <w:iCs/>
                <w:lang w:val="en-GB"/>
              </w:rPr>
              <w:t xml:space="preserve">1 – preparing essays </w:t>
            </w:r>
          </w:p>
        </w:tc>
      </w:tr>
      <w:tr w:rsidR="00EB3B4F" w:rsidRPr="00CF53D8" w14:paraId="2DEBC85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9B2B2D6" w14:textId="77777777" w:rsidR="00AC38E9" w:rsidRPr="006A493B" w:rsidRDefault="00AC38E9" w:rsidP="00891FE6">
            <w:pPr>
              <w:rPr>
                <w:rFonts w:ascii="Georgia" w:eastAsia="Calibri" w:hAnsi="Georgia" w:cs="Times New Roman"/>
                <w:bCs/>
                <w:sz w:val="24"/>
                <w:szCs w:val="24"/>
                <w:lang w:val="en-GB"/>
              </w:rPr>
            </w:pPr>
            <w:r w:rsidRPr="006A493B">
              <w:rPr>
                <w:rFonts w:ascii="Georgia" w:eastAsia="Calibri" w:hAnsi="Georgia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6A493B">
              <w:rPr>
                <w:rFonts w:ascii="Georgia" w:eastAsia="Calibri" w:hAnsi="Georgia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5DE88CC3" w14:textId="52DA9BA6" w:rsidR="00EB3B4F" w:rsidRPr="006A493B" w:rsidRDefault="00416885" w:rsidP="00CA1C9F">
            <w:pPr>
              <w:rPr>
                <w:rFonts w:ascii="Georgia" w:eastAsia="Calibri" w:hAnsi="Georgia"/>
                <w:lang w:val="en-GB"/>
              </w:rPr>
            </w:pPr>
            <w:r w:rsidRPr="006A493B">
              <w:rPr>
                <w:rFonts w:ascii="Georgia" w:eastAsia="Calibri" w:hAnsi="Georgia"/>
                <w:lang w:val="en-GB"/>
              </w:rPr>
              <w:t>Classroom (or online) workshops/lectures where students will be made to participate in activities in real time</w:t>
            </w:r>
          </w:p>
          <w:p w14:paraId="178394AF" w14:textId="4AA17442" w:rsidR="00416885" w:rsidRPr="006A493B" w:rsidRDefault="00416885" w:rsidP="00CA1C9F">
            <w:pPr>
              <w:rPr>
                <w:rFonts w:ascii="Georgia" w:eastAsia="Calibri" w:hAnsi="Georgia"/>
                <w:lang w:val="en-GB"/>
              </w:rPr>
            </w:pPr>
            <w:r w:rsidRPr="006A493B">
              <w:rPr>
                <w:rFonts w:ascii="Georgia" w:eastAsia="Calibri" w:hAnsi="Georgia"/>
                <w:lang w:val="en-GB"/>
              </w:rPr>
              <w:t xml:space="preserve">Use of audio-visual media </w:t>
            </w:r>
          </w:p>
        </w:tc>
      </w:tr>
      <w:tr w:rsidR="00EB3B4F" w:rsidRPr="00CF53D8" w14:paraId="698647E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972092D" w14:textId="77777777" w:rsidR="00AC38E9" w:rsidRPr="006A493B" w:rsidRDefault="000C0811" w:rsidP="00EE0101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  <w:szCs w:val="24"/>
                <w:lang w:val="en-US"/>
              </w:rPr>
            </w:pPr>
            <w:r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 xml:space="preserve">Form and conditions of passing a component, </w:t>
            </w:r>
            <w:r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lastRenderedPageBreak/>
              <w:t>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36D6CD14" w14:textId="4A5AD953" w:rsidR="00EB3B4F" w:rsidRPr="006A493B" w:rsidRDefault="00416885" w:rsidP="00F07A74">
            <w:pPr>
              <w:rPr>
                <w:rFonts w:ascii="Georgia" w:eastAsia="Calibri" w:hAnsi="Georgia"/>
                <w:lang w:val="en-US"/>
              </w:rPr>
            </w:pPr>
            <w:r w:rsidRPr="006A493B">
              <w:rPr>
                <w:rFonts w:ascii="Georgia" w:eastAsia="Calibri" w:hAnsi="Georgia"/>
                <w:lang w:val="en-US"/>
              </w:rPr>
              <w:lastRenderedPageBreak/>
              <w:t>Passing grade in both assessment components</w:t>
            </w:r>
          </w:p>
        </w:tc>
      </w:tr>
      <w:tr w:rsidR="00EB3B4F" w:rsidRPr="00CF53D8" w14:paraId="05A8528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F81B911" w14:textId="77777777" w:rsidR="000C0811" w:rsidRPr="006A493B" w:rsidRDefault="005947AB" w:rsidP="00891FE6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  <w:szCs w:val="24"/>
                <w:lang w:val="en-US"/>
              </w:rPr>
            </w:pPr>
            <w:r w:rsidRPr="006A493B">
              <w:rPr>
                <w:rFonts w:ascii="Georgia" w:eastAsia="Calibri" w:hAnsi="Georgia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6A493B">
              <w:rPr>
                <w:rFonts w:ascii="Georgia" w:eastAsia="Calibri" w:hAnsi="Georgia" w:cs="Times New Roman"/>
                <w:bCs/>
                <w:sz w:val="24"/>
                <w:szCs w:val="24"/>
                <w:lang w:val="en-US"/>
              </w:rPr>
              <w:t>completion</w:t>
            </w:r>
            <w:r w:rsidRPr="006A493B">
              <w:rPr>
                <w:rFonts w:ascii="Georgia" w:eastAsia="Calibri" w:hAnsi="Georgia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7BF1250C" w14:textId="77777777" w:rsidR="00416885" w:rsidRPr="006A493B" w:rsidRDefault="00416885" w:rsidP="00416885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Lecture 1 - Intro: Culture and Ideology</w:t>
            </w:r>
          </w:p>
          <w:p w14:paraId="6D2738FD" w14:textId="77777777" w:rsidR="00416885" w:rsidRPr="006A493B" w:rsidRDefault="00416885" w:rsidP="00416885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Lecture 2 - IR through the lens of cultural “common sense” (Compositional Analysis)</w:t>
            </w:r>
          </w:p>
          <w:p w14:paraId="14C23707" w14:textId="77777777" w:rsidR="00416885" w:rsidRPr="006A493B" w:rsidRDefault="00416885" w:rsidP="00416885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Lecture 3-4 - “The Third World” as a Cultural Construction (Content analysis)</w:t>
            </w:r>
          </w:p>
          <w:p w14:paraId="79C5B76B" w14:textId="77777777" w:rsidR="00416885" w:rsidRPr="006A493B" w:rsidRDefault="00416885" w:rsidP="00416885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Lecture 5-6 - Images of the Military (Semiology)</w:t>
            </w:r>
          </w:p>
          <w:p w14:paraId="311A86B2" w14:textId="77777777" w:rsidR="00416885" w:rsidRPr="006A493B" w:rsidRDefault="00416885" w:rsidP="00416885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Lecture 7-8 - International Crisis in Culture (Psychoanalysis)</w:t>
            </w:r>
          </w:p>
          <w:p w14:paraId="61AE3A32" w14:textId="77777777" w:rsidR="00416885" w:rsidRPr="006A493B" w:rsidRDefault="00416885" w:rsidP="00416885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Lecture 9-10 - Superheroes, Capitalism and Surveillance (Discourse Analysis)</w:t>
            </w:r>
          </w:p>
          <w:p w14:paraId="73FB80B4" w14:textId="77777777" w:rsidR="00416885" w:rsidRPr="006A493B" w:rsidRDefault="00416885" w:rsidP="00416885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Lecture 11-12 - Stereotyping and Hollywood</w:t>
            </w:r>
          </w:p>
          <w:p w14:paraId="128572DA" w14:textId="77777777" w:rsidR="00416885" w:rsidRPr="006A493B" w:rsidRDefault="00416885" w:rsidP="00416885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Lecture 13 - Digital Analysis and Essay Composition</w:t>
            </w:r>
          </w:p>
          <w:p w14:paraId="0EA5B1F2" w14:textId="2493D99B" w:rsidR="00F07A74" w:rsidRPr="006A493B" w:rsidRDefault="00416885" w:rsidP="00416885">
            <w:pPr>
              <w:rPr>
                <w:rFonts w:ascii="Georgia" w:eastAsia="Calibri" w:hAnsi="Georgia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Lecture 14-15 - Nation Branding and Soft Power</w:t>
            </w:r>
          </w:p>
        </w:tc>
      </w:tr>
      <w:tr w:rsidR="00EB3B4F" w:rsidRPr="00CF53D8" w14:paraId="65A7E7E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73C98F" w14:textId="77777777" w:rsidR="005947AB" w:rsidRPr="006A493B" w:rsidRDefault="005947AB" w:rsidP="005947AB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  <w:szCs w:val="24"/>
                <w:lang w:val="en-US"/>
              </w:rPr>
            </w:pPr>
            <w:r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List of basic as well as supplementary literature</w:t>
            </w:r>
            <w:r w:rsidR="00891FE6"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,</w:t>
            </w:r>
            <w:r w:rsidRPr="006A493B"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034258F3" w14:textId="77777777" w:rsidR="00F07A74" w:rsidRPr="006A493B" w:rsidRDefault="00416885" w:rsidP="00416885">
            <w:pPr>
              <w:rPr>
                <w:rFonts w:ascii="Georgia" w:hAnsi="Georgia"/>
                <w:color w:val="000000"/>
                <w:lang w:val="en-US"/>
              </w:rPr>
            </w:pPr>
            <w:r w:rsidRPr="006A493B">
              <w:rPr>
                <w:rFonts w:ascii="Georgia" w:eastAsia="Calibri" w:hAnsi="Georgia"/>
                <w:lang w:val="en-US"/>
              </w:rPr>
              <w:t xml:space="preserve">Basic literature: </w:t>
            </w:r>
            <w:r w:rsidRPr="006A493B">
              <w:rPr>
                <w:rFonts w:ascii="Georgia" w:hAnsi="Georgia"/>
                <w:color w:val="000000"/>
                <w:lang w:val="en-US"/>
              </w:rPr>
              <w:t>Gillian Rose,</w:t>
            </w:r>
            <w:r w:rsidRPr="006A493B">
              <w:rPr>
                <w:rStyle w:val="apple-converted-space"/>
                <w:rFonts w:ascii="Georgia" w:hAnsi="Georgia"/>
                <w:color w:val="000000"/>
                <w:lang w:val="en-US"/>
              </w:rPr>
              <w:t> </w:t>
            </w:r>
            <w:r w:rsidRPr="006A493B">
              <w:rPr>
                <w:rStyle w:val="Uwydatnienie"/>
                <w:rFonts w:ascii="Georgia" w:hAnsi="Georgia"/>
                <w:color w:val="000000"/>
                <w:bdr w:val="none" w:sz="0" w:space="0" w:color="auto" w:frame="1"/>
                <w:lang w:val="en-US"/>
              </w:rPr>
              <w:t>Visual Methodologies: An Introduction to Researching with Visual Materials</w:t>
            </w:r>
            <w:r w:rsidRPr="006A493B">
              <w:rPr>
                <w:rFonts w:ascii="Georgia" w:hAnsi="Georgia"/>
                <w:color w:val="000000"/>
                <w:lang w:val="en-US"/>
              </w:rPr>
              <w:t>, Sage, 2016, 4th Edition</w:t>
            </w:r>
          </w:p>
          <w:p w14:paraId="6500DDBF" w14:textId="77777777" w:rsidR="00416885" w:rsidRPr="006A493B" w:rsidRDefault="00416885" w:rsidP="00416885">
            <w:pPr>
              <w:rPr>
                <w:rFonts w:ascii="Georgia" w:hAnsi="Georgia"/>
                <w:color w:val="000000"/>
                <w:lang w:val="en-US"/>
              </w:rPr>
            </w:pPr>
            <w:r w:rsidRPr="006A493B">
              <w:rPr>
                <w:rFonts w:ascii="Georgia" w:hAnsi="Georgia"/>
                <w:color w:val="000000"/>
                <w:lang w:val="en-US"/>
              </w:rPr>
              <w:t>Supplementary literature:</w:t>
            </w:r>
          </w:p>
          <w:p w14:paraId="6D47DE2C" w14:textId="77777777" w:rsidR="00416885" w:rsidRPr="006A493B" w:rsidRDefault="00416885" w:rsidP="00416885">
            <w:pPr>
              <w:pStyle w:val="Akapitzlist"/>
              <w:numPr>
                <w:ilvl w:val="0"/>
                <w:numId w:val="14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Intro: Culture and Ideology</w:t>
            </w:r>
          </w:p>
          <w:p w14:paraId="79232C80" w14:textId="77777777" w:rsidR="00416885" w:rsidRPr="006A493B" w:rsidRDefault="00416885" w:rsidP="00416885">
            <w:pPr>
              <w:pStyle w:val="Akapitzlist"/>
              <w:rPr>
                <w:rFonts w:ascii="Georgia" w:hAnsi="Georgia"/>
                <w:sz w:val="24"/>
                <w:szCs w:val="24"/>
                <w:lang w:val="en-US"/>
              </w:rPr>
            </w:pPr>
          </w:p>
          <w:p w14:paraId="556F27B4" w14:textId="77777777" w:rsidR="00416885" w:rsidRPr="006A493B" w:rsidRDefault="00416885" w:rsidP="00416885">
            <w:pPr>
              <w:pStyle w:val="Akapitzlist"/>
              <w:numPr>
                <w:ilvl w:val="0"/>
                <w:numId w:val="9"/>
              </w:numPr>
              <w:ind w:left="1418"/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Rose: Chapters 1 and 2</w:t>
            </w:r>
          </w:p>
          <w:p w14:paraId="24531250" w14:textId="77777777" w:rsidR="00416885" w:rsidRPr="006A493B" w:rsidRDefault="00416885" w:rsidP="00416885">
            <w:pPr>
              <w:pStyle w:val="Akapitzlist"/>
              <w:numPr>
                <w:ilvl w:val="0"/>
                <w:numId w:val="9"/>
              </w:numPr>
              <w:ind w:left="1418"/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Jutta </w:t>
            </w:r>
            <w:proofErr w:type="spellStart"/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Weldes</w:t>
            </w:r>
            <w:proofErr w:type="spellEnd"/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 and Christina Rowley (2015), “So How Does Popular Culture Relate to World Politics?” Chapter 1 in Frederica Caso and </w:t>
            </w:r>
            <w:proofErr w:type="spellStart"/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Caitlain</w:t>
            </w:r>
            <w:proofErr w:type="spellEnd"/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 Hamilton (eds), </w:t>
            </w:r>
            <w:r w:rsidRPr="006A493B">
              <w:rPr>
                <w:rFonts w:ascii="Georgia" w:hAnsi="Georgia"/>
                <w:i/>
                <w:sz w:val="24"/>
                <w:szCs w:val="24"/>
                <w:lang w:val="en-US"/>
              </w:rPr>
              <w:t>Popular Culture and World Politics</w:t>
            </w: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, Bristol: E-International Relations, 1-9.</w:t>
            </w:r>
          </w:p>
          <w:p w14:paraId="21F24C73" w14:textId="77777777" w:rsidR="00416885" w:rsidRPr="006A493B" w:rsidRDefault="00416885" w:rsidP="00416885">
            <w:pPr>
              <w:pStyle w:val="Akapitzlist"/>
              <w:ind w:left="1080"/>
              <w:rPr>
                <w:rFonts w:ascii="Georgia" w:hAnsi="Georgia"/>
                <w:sz w:val="24"/>
                <w:szCs w:val="24"/>
                <w:lang w:val="en-US"/>
              </w:rPr>
            </w:pPr>
          </w:p>
          <w:p w14:paraId="676B92E5" w14:textId="77777777" w:rsidR="00416885" w:rsidRPr="006A493B" w:rsidRDefault="00416885" w:rsidP="00416885">
            <w:pPr>
              <w:pStyle w:val="Akapitzlist"/>
              <w:numPr>
                <w:ilvl w:val="0"/>
                <w:numId w:val="14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IR through the lens of cultural “common sense” (Compositional Analysis)</w:t>
            </w:r>
          </w:p>
          <w:p w14:paraId="24EF4119" w14:textId="77777777" w:rsidR="00416885" w:rsidRPr="006A493B" w:rsidRDefault="00416885" w:rsidP="00416885">
            <w:pPr>
              <w:pStyle w:val="Akapitzlist"/>
              <w:rPr>
                <w:rFonts w:ascii="Georgia" w:hAnsi="Georgia"/>
                <w:sz w:val="24"/>
                <w:szCs w:val="24"/>
                <w:lang w:val="en-US"/>
              </w:rPr>
            </w:pPr>
          </w:p>
          <w:p w14:paraId="09A110C3" w14:textId="77777777" w:rsidR="00416885" w:rsidRPr="006A493B" w:rsidRDefault="00416885" w:rsidP="00416885">
            <w:pPr>
              <w:pStyle w:val="Akapitzlist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lastRenderedPageBreak/>
              <w:t>Rose: Chapter 4, 56-84.</w:t>
            </w:r>
          </w:p>
          <w:p w14:paraId="030CB08E" w14:textId="77777777" w:rsidR="00416885" w:rsidRPr="006A493B" w:rsidRDefault="00416885" w:rsidP="00416885">
            <w:pPr>
              <w:pStyle w:val="Akapitzlist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NZ"/>
              </w:rPr>
              <w:t xml:space="preserve">William Mishler and Detlef Pollack, “On Culture Thick and Thin: Toward a Neo-Cultural Synthesis,” In Detlef Pollack and </w:t>
            </w:r>
            <w:proofErr w:type="spellStart"/>
            <w:r w:rsidRPr="006A493B">
              <w:rPr>
                <w:rFonts w:ascii="Georgia" w:hAnsi="Georgia"/>
                <w:sz w:val="24"/>
                <w:szCs w:val="24"/>
                <w:lang w:val="en-NZ"/>
              </w:rPr>
              <w:t>Jorg</w:t>
            </w:r>
            <w:proofErr w:type="spellEnd"/>
            <w:r w:rsidRPr="006A493B">
              <w:rPr>
                <w:rFonts w:ascii="Georgia" w:hAnsi="Georgia"/>
                <w:sz w:val="24"/>
                <w:szCs w:val="24"/>
                <w:lang w:val="en-NZ"/>
              </w:rPr>
              <w:t xml:space="preserve"> Jacobs, eds., Political Culture in Post-Communist Europe (Ashgate, 2003). First six pages only, until the heading “Toward a Neo-Cultural Synthesis” http://www.u.arizona.edu/~mishler/Thick&amp;Thinscan.pdf</w:t>
            </w:r>
          </w:p>
          <w:p w14:paraId="18DDF568" w14:textId="77777777" w:rsidR="00416885" w:rsidRPr="006A493B" w:rsidRDefault="00416885" w:rsidP="00416885">
            <w:pPr>
              <w:pStyle w:val="Akapitzlist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A.S.X. “‘Star Trek Beyond’ strips politics from the universe,” </w:t>
            </w:r>
            <w:r w:rsidRPr="006A493B">
              <w:rPr>
                <w:rFonts w:ascii="Georgia" w:hAnsi="Georgia"/>
                <w:i/>
                <w:sz w:val="24"/>
                <w:szCs w:val="24"/>
                <w:lang w:val="en-US"/>
              </w:rPr>
              <w:t>Economist</w:t>
            </w: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, 22 July 2016. https://www.economist.com/blogs/prospero/2016/07/sci-fi-films</w:t>
            </w:r>
          </w:p>
          <w:p w14:paraId="161C44A5" w14:textId="77777777" w:rsidR="00416885" w:rsidRPr="006A493B" w:rsidRDefault="00416885" w:rsidP="00416885">
            <w:pPr>
              <w:ind w:left="372" w:firstLine="708"/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Recommended viewing</w:t>
            </w:r>
          </w:p>
          <w:p w14:paraId="5582185A" w14:textId="77777777" w:rsidR="00416885" w:rsidRPr="006A493B" w:rsidRDefault="00416885" w:rsidP="00416885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i/>
                <w:sz w:val="24"/>
                <w:szCs w:val="24"/>
                <w:lang w:val="en-US"/>
              </w:rPr>
              <w:t>Star Trek</w:t>
            </w: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 (1968) 2:19 “A Private Little War” Paramount Pictures. Available on Netflix.</w:t>
            </w:r>
          </w:p>
          <w:p w14:paraId="7AED0730" w14:textId="77777777" w:rsidR="00416885" w:rsidRPr="006A493B" w:rsidRDefault="00416885" w:rsidP="00416885">
            <w:pPr>
              <w:pStyle w:val="Akapitzlist"/>
              <w:rPr>
                <w:rFonts w:ascii="Georgia" w:hAnsi="Georgia"/>
                <w:sz w:val="24"/>
                <w:szCs w:val="24"/>
                <w:lang w:val="en-US"/>
              </w:rPr>
            </w:pPr>
          </w:p>
          <w:p w14:paraId="7239BC1D" w14:textId="77777777" w:rsidR="00416885" w:rsidRPr="006A493B" w:rsidRDefault="00416885" w:rsidP="00416885">
            <w:pPr>
              <w:pStyle w:val="Akapitzlist"/>
              <w:numPr>
                <w:ilvl w:val="0"/>
                <w:numId w:val="14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“The Third World” as a Cultural Construction (Content analysis) </w:t>
            </w:r>
          </w:p>
          <w:p w14:paraId="2BF29228" w14:textId="77777777" w:rsidR="00416885" w:rsidRPr="006A493B" w:rsidRDefault="00416885" w:rsidP="00416885">
            <w:pPr>
              <w:pStyle w:val="Akapitzlist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Rose: Chapter 5 </w:t>
            </w:r>
          </w:p>
          <w:p w14:paraId="13DDD87C" w14:textId="77777777" w:rsidR="00416885" w:rsidRPr="006A493B" w:rsidRDefault="00416885" w:rsidP="00416885">
            <w:pPr>
              <w:pStyle w:val="Akapitzlist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Teju Cole, “The White-</w:t>
            </w:r>
            <w:proofErr w:type="spellStart"/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Saviour</w:t>
            </w:r>
            <w:proofErr w:type="spellEnd"/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 Industrial Complex,” </w:t>
            </w:r>
            <w:r w:rsidRPr="006A493B">
              <w:rPr>
                <w:rFonts w:ascii="Georgia" w:hAnsi="Georgia"/>
                <w:i/>
                <w:sz w:val="24"/>
                <w:szCs w:val="24"/>
                <w:lang w:val="en-US"/>
              </w:rPr>
              <w:t>Atlantic</w:t>
            </w: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, 21 March 2012, available from http://www.theatlantic.com/international/archive/2012/03/the-white-savior-industrial-complex/254843/ </w:t>
            </w:r>
          </w:p>
          <w:p w14:paraId="40C6B941" w14:textId="77777777" w:rsidR="00416885" w:rsidRPr="006A493B" w:rsidRDefault="00416885" w:rsidP="00416885">
            <w:pPr>
              <w:pStyle w:val="Akapitzlist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Janice Nathanson (2013), “The Pornography of Poverty: Reframing the Discourse of International Aid’s Representations of Starving Children,” </w:t>
            </w:r>
            <w:r w:rsidRPr="006A493B">
              <w:rPr>
                <w:rFonts w:ascii="Georgia" w:hAnsi="Georgia"/>
                <w:i/>
                <w:sz w:val="24"/>
                <w:szCs w:val="24"/>
                <w:lang w:val="en-US"/>
              </w:rPr>
              <w:t>Canadian Journal of Communication</w:t>
            </w: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, 38:1, 103-120.</w:t>
            </w:r>
          </w:p>
          <w:p w14:paraId="22BDD2E6" w14:textId="77777777" w:rsidR="00416885" w:rsidRPr="006A493B" w:rsidRDefault="00416885" w:rsidP="00416885">
            <w:pPr>
              <w:ind w:left="708"/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Recommended viewing</w:t>
            </w:r>
          </w:p>
          <w:p w14:paraId="675084B0" w14:textId="77777777" w:rsidR="00416885" w:rsidRPr="006A493B" w:rsidRDefault="00416885" w:rsidP="00416885">
            <w:pPr>
              <w:pStyle w:val="Akapitzlist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CCF – Now Eric (Christian Children’s Fund) Corinthian Media </w:t>
            </w:r>
            <w:hyperlink r:id="rId5" w:history="1">
              <w:r w:rsidRPr="006A493B">
                <w:rPr>
                  <w:rStyle w:val="Hipercze"/>
                  <w:rFonts w:ascii="Georgia" w:hAnsi="Georgia"/>
                  <w:lang w:val="en-US"/>
                </w:rPr>
                <w:t>https://www.youtube.com/watch?v=j_aRUUdEFRY</w:t>
              </w:r>
            </w:hyperlink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</w:p>
          <w:p w14:paraId="16FF4A8D" w14:textId="77777777" w:rsidR="00416885" w:rsidRPr="006A493B" w:rsidRDefault="00416885" w:rsidP="00416885">
            <w:pPr>
              <w:pStyle w:val="Akapitzlist"/>
              <w:rPr>
                <w:rFonts w:ascii="Georgia" w:hAnsi="Georgia"/>
                <w:sz w:val="24"/>
                <w:szCs w:val="24"/>
                <w:lang w:val="en-US"/>
              </w:rPr>
            </w:pPr>
          </w:p>
          <w:p w14:paraId="5ADBCB4D" w14:textId="77777777" w:rsidR="00416885" w:rsidRPr="006A493B" w:rsidRDefault="00416885" w:rsidP="00416885">
            <w:pPr>
              <w:pStyle w:val="Akapitzlist"/>
              <w:numPr>
                <w:ilvl w:val="0"/>
                <w:numId w:val="14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Images of the Military (Semiology)</w:t>
            </w:r>
          </w:p>
          <w:p w14:paraId="3D133F23" w14:textId="77777777" w:rsidR="00416885" w:rsidRPr="006A493B" w:rsidRDefault="00416885" w:rsidP="00416885">
            <w:pPr>
              <w:pStyle w:val="Akapitzlist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Rose Chapter 6</w:t>
            </w:r>
          </w:p>
          <w:p w14:paraId="2669E65A" w14:textId="77777777" w:rsidR="00416885" w:rsidRPr="006A493B" w:rsidRDefault="00416885" w:rsidP="00416885">
            <w:pPr>
              <w:pStyle w:val="Akapitzlist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Roland Barthes, “Myth Today” in </w:t>
            </w:r>
            <w:r w:rsidRPr="006A493B">
              <w:rPr>
                <w:rFonts w:ascii="Georgia" w:hAnsi="Georgia"/>
                <w:i/>
                <w:sz w:val="24"/>
                <w:szCs w:val="24"/>
                <w:lang w:val="en-US"/>
              </w:rPr>
              <w:t>Mythologies</w:t>
            </w: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, New York: Noonday Press, 107-136. Available from: </w:t>
            </w:r>
            <w:hyperlink r:id="rId6" w:history="1">
              <w:r w:rsidRPr="006A493B">
                <w:rPr>
                  <w:rStyle w:val="Hipercze"/>
                  <w:rFonts w:ascii="Georgia" w:hAnsi="Georgia"/>
                  <w:lang w:val="en-US"/>
                </w:rPr>
                <w:t>http://faculty.georgetown.edu/irvinem/theory/Barthes-MythToday-excerpt.pdf</w:t>
              </w:r>
            </w:hyperlink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</w:p>
          <w:p w14:paraId="47B6CCDB" w14:textId="77777777" w:rsidR="00416885" w:rsidRPr="006A493B" w:rsidRDefault="00416885" w:rsidP="00416885">
            <w:pPr>
              <w:pStyle w:val="Akapitzlist"/>
              <w:rPr>
                <w:rFonts w:ascii="Georgia" w:hAnsi="Georgia"/>
                <w:sz w:val="24"/>
                <w:szCs w:val="24"/>
                <w:lang w:val="en-US"/>
              </w:rPr>
            </w:pPr>
          </w:p>
          <w:p w14:paraId="4ADDD64F" w14:textId="77777777" w:rsidR="00416885" w:rsidRPr="006A493B" w:rsidRDefault="00416885" w:rsidP="00416885">
            <w:pPr>
              <w:pStyle w:val="Akapitzlist"/>
              <w:numPr>
                <w:ilvl w:val="0"/>
                <w:numId w:val="14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International Crisis in Culture (Psychoanalysis)</w:t>
            </w:r>
          </w:p>
          <w:p w14:paraId="3B736BFE" w14:textId="77777777" w:rsidR="00416885" w:rsidRPr="006A493B" w:rsidRDefault="00416885" w:rsidP="00416885">
            <w:pPr>
              <w:pStyle w:val="Akapitzlist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Rose Chapter 7.</w:t>
            </w:r>
          </w:p>
          <w:p w14:paraId="5602BA33" w14:textId="77777777" w:rsidR="00416885" w:rsidRPr="006A493B" w:rsidRDefault="00416885" w:rsidP="00416885">
            <w:pPr>
              <w:pStyle w:val="Akapitzlist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Dan Hassler-Forrest (2012), “Disaster Capitalism and the Traumatized Superhero,” Chapter 2 in </w:t>
            </w:r>
            <w:r w:rsidRPr="006A493B">
              <w:rPr>
                <w:rFonts w:ascii="Georgia" w:hAnsi="Georgia"/>
                <w:i/>
                <w:sz w:val="24"/>
                <w:szCs w:val="24"/>
                <w:lang w:val="en-US"/>
              </w:rPr>
              <w:t>Capitalist Superheroes: Caped Crusaders in the Neoliberal Age</w:t>
            </w: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, Winchester: Zero Books, 69-111.</w:t>
            </w:r>
          </w:p>
          <w:p w14:paraId="41AE28F1" w14:textId="77777777" w:rsidR="00416885" w:rsidRPr="006A493B" w:rsidRDefault="00416885" w:rsidP="00416885">
            <w:pPr>
              <w:pStyle w:val="Akapitzlist"/>
              <w:numPr>
                <w:ilvl w:val="0"/>
                <w:numId w:val="11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Antonio Sánchez-</w:t>
            </w:r>
            <w:proofErr w:type="spellStart"/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Escalonilla</w:t>
            </w:r>
            <w:proofErr w:type="spellEnd"/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 (2010) “Hollywood and the Rhetoric of Panic: The Popular Genres of Action and Fantasy in the Wake of the 9/11 Attacks,” </w:t>
            </w:r>
            <w:r w:rsidRPr="006A493B">
              <w:rPr>
                <w:rFonts w:ascii="Georgia" w:hAnsi="Georgia"/>
                <w:i/>
                <w:sz w:val="24"/>
                <w:szCs w:val="24"/>
                <w:lang w:val="en-US"/>
              </w:rPr>
              <w:t>Journal of Popular Film and Television</w:t>
            </w: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, 38:1, 10-20, DOI: 10.1080/01956050903449640.</w:t>
            </w:r>
          </w:p>
          <w:p w14:paraId="51658D67" w14:textId="77777777" w:rsidR="00416885" w:rsidRPr="006A493B" w:rsidRDefault="00416885" w:rsidP="00416885">
            <w:pPr>
              <w:pStyle w:val="Akapitzlist"/>
              <w:ind w:left="1440"/>
              <w:rPr>
                <w:rFonts w:ascii="Georgia" w:hAnsi="Georgia"/>
                <w:sz w:val="24"/>
                <w:szCs w:val="24"/>
                <w:lang w:val="en-US"/>
              </w:rPr>
            </w:pPr>
          </w:p>
          <w:p w14:paraId="3FEE78D1" w14:textId="77777777" w:rsidR="00416885" w:rsidRPr="006A493B" w:rsidRDefault="00416885" w:rsidP="00416885">
            <w:pPr>
              <w:pStyle w:val="Akapitzlist"/>
              <w:numPr>
                <w:ilvl w:val="0"/>
                <w:numId w:val="14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Superheroes, Capitalism and Surveillance (Discourse Analysis)</w:t>
            </w:r>
          </w:p>
          <w:p w14:paraId="3A9DBFF2" w14:textId="77777777" w:rsidR="00416885" w:rsidRPr="006A493B" w:rsidRDefault="00416885" w:rsidP="00416885">
            <w:pPr>
              <w:pStyle w:val="Akapitzlist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Rose Chapter 8&amp;9</w:t>
            </w:r>
          </w:p>
          <w:p w14:paraId="50D96E78" w14:textId="77777777" w:rsidR="00416885" w:rsidRPr="006A493B" w:rsidRDefault="00416885" w:rsidP="00416885">
            <w:pPr>
              <w:pStyle w:val="Akapitzlist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Dan Hassler-Forrest (2012), “Surveillance, Control and Visibility in the Neoliberal City,” Chapter 4 in </w:t>
            </w:r>
            <w:r w:rsidRPr="006A493B">
              <w:rPr>
                <w:rFonts w:ascii="Georgia" w:hAnsi="Georgia"/>
                <w:i/>
                <w:sz w:val="24"/>
                <w:szCs w:val="24"/>
                <w:lang w:val="en-US"/>
              </w:rPr>
              <w:t>Capitalist Superheroes: Caped Crusaders in the Neoliberal Age</w:t>
            </w: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, Winchester: Zero Books, 157-206.</w:t>
            </w:r>
          </w:p>
          <w:p w14:paraId="406FDD57" w14:textId="77777777" w:rsidR="00416885" w:rsidRPr="006A493B" w:rsidRDefault="00416885" w:rsidP="00416885">
            <w:pPr>
              <w:pStyle w:val="Akapitzlist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Marc </w:t>
            </w:r>
            <w:proofErr w:type="spellStart"/>
            <w:r w:rsidRPr="006A493B"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DiPaolo</w:t>
            </w:r>
            <w:proofErr w:type="spellEnd"/>
            <w:r w:rsidRPr="006A493B"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(2011), “Batman as Terrorist, Technocrat, and Feudal Lord,” Chapter 1 in </w:t>
            </w:r>
            <w:r w:rsidRPr="006A493B">
              <w:rPr>
                <w:rFonts w:ascii="Georgia" w:hAnsi="Georgia" w:cs="Arial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War, Politics and Superheroes: Ethics and Propaganda in Comics and Film</w:t>
            </w:r>
            <w:r w:rsidRPr="006A493B"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, Jefferson NC: MacFarland and Co, 49-69.</w:t>
            </w:r>
          </w:p>
          <w:p w14:paraId="1E8B3417" w14:textId="77777777" w:rsidR="00416885" w:rsidRPr="006A493B" w:rsidRDefault="00416885" w:rsidP="00416885">
            <w:pPr>
              <w:pStyle w:val="Akapitzlist"/>
              <w:rPr>
                <w:rFonts w:ascii="Georgia" w:hAnsi="Georgia"/>
                <w:sz w:val="24"/>
                <w:szCs w:val="24"/>
                <w:lang w:val="en-US"/>
              </w:rPr>
            </w:pPr>
          </w:p>
          <w:p w14:paraId="5D5A15E5" w14:textId="77777777" w:rsidR="00416885" w:rsidRPr="006A493B" w:rsidRDefault="00416885" w:rsidP="00416885">
            <w:pPr>
              <w:pStyle w:val="Akapitzlist"/>
              <w:numPr>
                <w:ilvl w:val="0"/>
                <w:numId w:val="14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Stereotyping and Hollywood</w:t>
            </w:r>
          </w:p>
          <w:p w14:paraId="6406CD3A" w14:textId="77777777" w:rsidR="00416885" w:rsidRPr="006A493B" w:rsidRDefault="00416885" w:rsidP="00416885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="Georgia" w:hAnsi="Georgia" w:cs="Arial"/>
                <w:color w:val="222222"/>
                <w:sz w:val="24"/>
                <w:szCs w:val="24"/>
              </w:rPr>
            </w:pPr>
            <w:proofErr w:type="spellStart"/>
            <w:r w:rsidRPr="006A493B">
              <w:rPr>
                <w:rFonts w:ascii="Georgia" w:hAnsi="Georgia" w:cs="Arial"/>
                <w:color w:val="222222"/>
                <w:sz w:val="24"/>
                <w:szCs w:val="24"/>
                <w:lang w:val="en-US"/>
              </w:rPr>
              <w:t>Kinaret</w:t>
            </w:r>
            <w:proofErr w:type="spellEnd"/>
            <w:r w:rsidRPr="006A493B">
              <w:rPr>
                <w:rFonts w:ascii="Georgia" w:hAnsi="Georgia" w:cs="Arial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93B">
              <w:rPr>
                <w:rFonts w:ascii="Georgia" w:hAnsi="Georgia" w:cs="Arial"/>
                <w:color w:val="222222"/>
                <w:sz w:val="24"/>
                <w:szCs w:val="24"/>
                <w:lang w:val="en-US"/>
              </w:rPr>
              <w:t>Guterman</w:t>
            </w:r>
            <w:proofErr w:type="spellEnd"/>
            <w:r w:rsidRPr="006A493B">
              <w:rPr>
                <w:rFonts w:ascii="Georgia" w:hAnsi="Georgia" w:cs="Arial"/>
                <w:color w:val="222222"/>
                <w:sz w:val="24"/>
                <w:szCs w:val="24"/>
                <w:lang w:val="en-US"/>
              </w:rPr>
              <w:t xml:space="preserve">, "The Dynamics of Stereotyping: Is the New Image of the Terrorist Evolving in American Popular Culture?" </w:t>
            </w:r>
            <w:r w:rsidRPr="006A493B">
              <w:rPr>
                <w:rFonts w:ascii="Georgia" w:hAnsi="Georgia" w:cs="Arial"/>
                <w:color w:val="222222"/>
                <w:sz w:val="24"/>
                <w:szCs w:val="24"/>
              </w:rPr>
              <w:t>Terrorism and Political Violence 25 (4): 640-652.</w:t>
            </w:r>
          </w:p>
          <w:p w14:paraId="73FC1E82" w14:textId="77777777" w:rsidR="00416885" w:rsidRPr="006A493B" w:rsidRDefault="00416885" w:rsidP="00416885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="Georgia" w:hAnsi="Georgia" w:cs="Arial"/>
                <w:color w:val="222222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 w:cs="Arial"/>
                <w:color w:val="222222"/>
                <w:sz w:val="24"/>
                <w:szCs w:val="24"/>
                <w:lang w:val="en-US"/>
              </w:rPr>
              <w:t>Louise Pears, "Ask the audience: television, security and Homeland" Critical Studies on Terrorism 9 (1): 76-96.</w:t>
            </w:r>
          </w:p>
          <w:p w14:paraId="2A2B4568" w14:textId="77777777" w:rsidR="00416885" w:rsidRPr="006A493B" w:rsidRDefault="00416885" w:rsidP="00416885">
            <w:pPr>
              <w:pStyle w:val="Akapitzlist"/>
              <w:ind w:left="1440"/>
              <w:rPr>
                <w:rFonts w:ascii="Georgia" w:hAnsi="Georgia"/>
                <w:sz w:val="24"/>
                <w:szCs w:val="24"/>
                <w:lang w:val="en-US"/>
              </w:rPr>
            </w:pPr>
          </w:p>
          <w:p w14:paraId="59127B13" w14:textId="77777777" w:rsidR="00416885" w:rsidRPr="006A493B" w:rsidRDefault="00416885" w:rsidP="00416885">
            <w:pPr>
              <w:pStyle w:val="Akapitzlist"/>
              <w:numPr>
                <w:ilvl w:val="0"/>
                <w:numId w:val="14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Digital analysis and essay composition</w:t>
            </w:r>
          </w:p>
          <w:p w14:paraId="35086F01" w14:textId="77777777" w:rsidR="00416885" w:rsidRPr="006A493B" w:rsidRDefault="00416885" w:rsidP="00416885">
            <w:pPr>
              <w:pStyle w:val="Akapitzlist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Rose Chapter 10</w:t>
            </w:r>
          </w:p>
          <w:p w14:paraId="1F9750CF" w14:textId="77777777" w:rsidR="00416885" w:rsidRPr="006A493B" w:rsidRDefault="00416885" w:rsidP="00416885">
            <w:pPr>
              <w:pStyle w:val="Akapitzlist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Please also think about your research project. Attempt to place it within a broader topic, think about a research question, and the significance of that question. Why is what you are asking </w:t>
            </w: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lastRenderedPageBreak/>
              <w:t>important? Does it add to the existing literature? Does it solve a practical problem? Finally, think about the primary sources that you are likely to use in your paper.</w:t>
            </w:r>
          </w:p>
          <w:p w14:paraId="0B03C7B4" w14:textId="77777777" w:rsidR="00416885" w:rsidRPr="006A493B" w:rsidRDefault="00416885" w:rsidP="00416885">
            <w:pPr>
              <w:pStyle w:val="Akapitzlist"/>
              <w:rPr>
                <w:rFonts w:ascii="Georgia" w:hAnsi="Georgia"/>
                <w:sz w:val="24"/>
                <w:szCs w:val="24"/>
                <w:lang w:val="en-US"/>
              </w:rPr>
            </w:pPr>
          </w:p>
          <w:p w14:paraId="2B110834" w14:textId="77777777" w:rsidR="00416885" w:rsidRPr="006A493B" w:rsidRDefault="00416885" w:rsidP="00416885">
            <w:pPr>
              <w:pStyle w:val="Akapitzlist"/>
              <w:numPr>
                <w:ilvl w:val="0"/>
                <w:numId w:val="14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Brand Nationalism</w:t>
            </w:r>
          </w:p>
          <w:p w14:paraId="17924A69" w14:textId="77777777" w:rsidR="0066600C" w:rsidRPr="006A493B" w:rsidRDefault="00416885" w:rsidP="00416885">
            <w:pPr>
              <w:pStyle w:val="Akapitzlist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Iwabuchi Koichi, “Undoing Inter-national Fandom in the Age of Brand Nationalism,” </w:t>
            </w:r>
            <w:proofErr w:type="spellStart"/>
            <w:r w:rsidRPr="006A493B">
              <w:rPr>
                <w:rFonts w:ascii="Georgia" w:hAnsi="Georgia"/>
                <w:i/>
                <w:sz w:val="24"/>
                <w:szCs w:val="24"/>
                <w:lang w:val="en-US"/>
              </w:rPr>
              <w:t>Mechademia</w:t>
            </w:r>
            <w:proofErr w:type="spellEnd"/>
            <w:r w:rsidRPr="006A493B">
              <w:rPr>
                <w:rFonts w:ascii="Georgia" w:hAnsi="Georgia"/>
                <w:i/>
                <w:sz w:val="24"/>
                <w:szCs w:val="24"/>
                <w:lang w:val="en-US"/>
              </w:rPr>
              <w:t xml:space="preserve"> </w:t>
            </w: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5 (handout) </w:t>
            </w:r>
          </w:p>
          <w:p w14:paraId="4C39B1D0" w14:textId="64EDF30E" w:rsidR="00416885" w:rsidRPr="006A493B" w:rsidRDefault="00416885" w:rsidP="00416885">
            <w:pPr>
              <w:pStyle w:val="Akapitzlist"/>
              <w:numPr>
                <w:ilvl w:val="0"/>
                <w:numId w:val="15"/>
              </w:numPr>
              <w:rPr>
                <w:rFonts w:ascii="Georgia" w:hAnsi="Georgia"/>
                <w:sz w:val="24"/>
                <w:szCs w:val="24"/>
                <w:lang w:val="en-US"/>
              </w:rPr>
            </w:pP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Lee Edwards; </w:t>
            </w:r>
            <w:proofErr w:type="spellStart"/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Anandi</w:t>
            </w:r>
            <w:proofErr w:type="spellEnd"/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 Ramamurthy (2016), “(In)credible India? A Critical Analysis of India’s Nation </w:t>
            </w:r>
            <w:proofErr w:type="spellStart"/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>Branding,”</w:t>
            </w:r>
            <w:r w:rsidRPr="006A493B">
              <w:rPr>
                <w:rFonts w:ascii="Georgia" w:hAnsi="Georgia"/>
                <w:i/>
                <w:sz w:val="24"/>
                <w:szCs w:val="24"/>
                <w:lang w:val="en-US"/>
              </w:rPr>
              <w:t>Communication</w:t>
            </w:r>
            <w:proofErr w:type="spellEnd"/>
            <w:r w:rsidRPr="006A493B">
              <w:rPr>
                <w:rFonts w:ascii="Georgia" w:hAnsi="Georgia"/>
                <w:i/>
                <w:sz w:val="24"/>
                <w:szCs w:val="24"/>
                <w:lang w:val="en-US"/>
              </w:rPr>
              <w:t>, Culture &amp; Critique</w:t>
            </w:r>
            <w:r w:rsidRPr="006A493B">
              <w:rPr>
                <w:rFonts w:ascii="Georgia" w:hAnsi="Georgia"/>
                <w:sz w:val="24"/>
                <w:szCs w:val="24"/>
                <w:lang w:val="en-US"/>
              </w:rPr>
              <w:t xml:space="preserve"> 10:2, 322-343.</w:t>
            </w:r>
          </w:p>
          <w:p w14:paraId="660840B9" w14:textId="3B8E481C" w:rsidR="00416885" w:rsidRPr="006A493B" w:rsidRDefault="00416885" w:rsidP="00416885">
            <w:pPr>
              <w:rPr>
                <w:rFonts w:ascii="Georgia" w:eastAsia="Calibri" w:hAnsi="Georgia"/>
                <w:lang w:val="en-US"/>
              </w:rPr>
            </w:pPr>
            <w:r w:rsidRPr="006A493B">
              <w:rPr>
                <w:rFonts w:ascii="Georgia" w:eastAsia="Calibri" w:hAnsi="Georgia"/>
                <w:sz w:val="24"/>
                <w:szCs w:val="24"/>
                <w:lang w:val="en-US"/>
              </w:rPr>
              <w:t>(Students will read only parts of the supplementary literature list as per directions of the instructor.)</w:t>
            </w:r>
          </w:p>
        </w:tc>
      </w:tr>
    </w:tbl>
    <w:p w14:paraId="75776113" w14:textId="77777777" w:rsidR="00EB3B4F" w:rsidRPr="006A493B" w:rsidRDefault="00EB3B4F" w:rsidP="00EB3B4F">
      <w:pPr>
        <w:rPr>
          <w:rFonts w:ascii="Georgia" w:hAnsi="Georgia"/>
          <w:lang w:val="en-US"/>
        </w:rPr>
      </w:pPr>
    </w:p>
    <w:p w14:paraId="7FD41AE6" w14:textId="77777777" w:rsidR="005009C0" w:rsidRPr="006A493B" w:rsidRDefault="005009C0">
      <w:pPr>
        <w:rPr>
          <w:rFonts w:ascii="Georgia" w:hAnsi="Georgia"/>
          <w:lang w:val="en-US"/>
        </w:rPr>
      </w:pPr>
    </w:p>
    <w:sectPr w:rsidR="005009C0" w:rsidRPr="006A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2DD"/>
    <w:multiLevelType w:val="hybridMultilevel"/>
    <w:tmpl w:val="DBD8B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36DCD"/>
    <w:multiLevelType w:val="hybridMultilevel"/>
    <w:tmpl w:val="66569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45BA"/>
    <w:multiLevelType w:val="hybridMultilevel"/>
    <w:tmpl w:val="663EE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D068D"/>
    <w:multiLevelType w:val="hybridMultilevel"/>
    <w:tmpl w:val="50CC3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16ECC"/>
    <w:multiLevelType w:val="hybridMultilevel"/>
    <w:tmpl w:val="A26211A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51204"/>
    <w:multiLevelType w:val="hybridMultilevel"/>
    <w:tmpl w:val="1CCAD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E80CFA"/>
    <w:multiLevelType w:val="hybridMultilevel"/>
    <w:tmpl w:val="8D5EEA0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762E6B"/>
    <w:multiLevelType w:val="hybridMultilevel"/>
    <w:tmpl w:val="E88CF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105FA3"/>
    <w:multiLevelType w:val="hybridMultilevel"/>
    <w:tmpl w:val="55FC209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C386A"/>
    <w:multiLevelType w:val="hybridMultilevel"/>
    <w:tmpl w:val="DDFA7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D1EF7"/>
    <w:multiLevelType w:val="hybridMultilevel"/>
    <w:tmpl w:val="D6CE2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84340A"/>
    <w:multiLevelType w:val="hybridMultilevel"/>
    <w:tmpl w:val="2474E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14"/>
  </w:num>
  <w:num w:numId="11">
    <w:abstractNumId w:val="1"/>
  </w:num>
  <w:num w:numId="12">
    <w:abstractNumId w:val="11"/>
  </w:num>
  <w:num w:numId="13">
    <w:abstractNumId w:val="6"/>
  </w:num>
  <w:num w:numId="14">
    <w:abstractNumId w:val="1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C0811"/>
    <w:rsid w:val="001301EC"/>
    <w:rsid w:val="00155E40"/>
    <w:rsid w:val="002D6A36"/>
    <w:rsid w:val="0034525C"/>
    <w:rsid w:val="00376D83"/>
    <w:rsid w:val="00416885"/>
    <w:rsid w:val="005009C0"/>
    <w:rsid w:val="00542B38"/>
    <w:rsid w:val="005947AB"/>
    <w:rsid w:val="00595EA0"/>
    <w:rsid w:val="0066600C"/>
    <w:rsid w:val="006A2E51"/>
    <w:rsid w:val="006A493B"/>
    <w:rsid w:val="00793025"/>
    <w:rsid w:val="007F08B4"/>
    <w:rsid w:val="008235D3"/>
    <w:rsid w:val="00823CD8"/>
    <w:rsid w:val="00891FE6"/>
    <w:rsid w:val="008A3A3B"/>
    <w:rsid w:val="00AC38E9"/>
    <w:rsid w:val="00B93EB2"/>
    <w:rsid w:val="00C22BE6"/>
    <w:rsid w:val="00C649F7"/>
    <w:rsid w:val="00CA1C9F"/>
    <w:rsid w:val="00CA5677"/>
    <w:rsid w:val="00CF53D8"/>
    <w:rsid w:val="00D6078C"/>
    <w:rsid w:val="00D94C74"/>
    <w:rsid w:val="00E45B95"/>
    <w:rsid w:val="00EB3B4F"/>
    <w:rsid w:val="00EE71C5"/>
    <w:rsid w:val="00F07A74"/>
    <w:rsid w:val="00F679B0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300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1688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416885"/>
  </w:style>
  <w:style w:type="character" w:styleId="Uwydatnienie">
    <w:name w:val="Emphasis"/>
    <w:basedOn w:val="Domylnaczcionkaakapitu"/>
    <w:uiPriority w:val="20"/>
    <w:qFormat/>
    <w:rsid w:val="00416885"/>
    <w:rPr>
      <w:i/>
      <w:iCs/>
    </w:rPr>
  </w:style>
  <w:style w:type="character" w:styleId="Hipercze">
    <w:name w:val="Hyperlink"/>
    <w:basedOn w:val="Domylnaczcionkaakapitu"/>
    <w:uiPriority w:val="99"/>
    <w:unhideWhenUsed/>
    <w:rsid w:val="00416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georgetown.edu/irvinem/theory/Barthes-MythToday-excerpt.pdf" TargetMode="External"/><Relationship Id="rId5" Type="http://schemas.openxmlformats.org/officeDocument/2006/relationships/hyperlink" Target="https://www.youtube.com/watch?v=j_aRUUdEF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1042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2021-10-02T15:09:00Z</dcterms:created>
  <dcterms:modified xsi:type="dcterms:W3CDTF">2021-10-02T15:09:00Z</dcterms:modified>
</cp:coreProperties>
</file>