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F50C" w14:textId="77777777" w:rsidR="00266145" w:rsidRDefault="00640656">
      <w:r>
        <w:t xml:space="preserve"> Syllabus of an educational component of a degree </w:t>
      </w:r>
      <w:proofErr w:type="spellStart"/>
      <w:r>
        <w:t>programme</w:t>
      </w:r>
      <w:proofErr w:type="spellEnd"/>
      <w:r>
        <w:t xml:space="preserve">  </w:t>
      </w:r>
    </w:p>
    <w:p w14:paraId="0BD49033" w14:textId="77777777" w:rsidR="00266145" w:rsidRDefault="00640656">
      <w:pPr>
        <w:spacing w:after="0"/>
        <w:ind w:left="0"/>
        <w:jc w:val="right"/>
      </w:pPr>
      <w:r>
        <w:t xml:space="preserve">  </w:t>
      </w:r>
    </w:p>
    <w:tbl>
      <w:tblPr>
        <w:tblStyle w:val="TableGrid"/>
        <w:tblW w:w="9364" w:type="dxa"/>
        <w:tblInd w:w="10" w:type="dxa"/>
        <w:tblCellMar>
          <w:top w:w="112" w:type="dxa"/>
          <w:left w:w="101" w:type="dxa"/>
          <w:right w:w="39" w:type="dxa"/>
        </w:tblCellMar>
        <w:tblLook w:val="04A0" w:firstRow="1" w:lastRow="0" w:firstColumn="1" w:lastColumn="0" w:noHBand="0" w:noVBand="1"/>
      </w:tblPr>
      <w:tblGrid>
        <w:gridCol w:w="3544"/>
        <w:gridCol w:w="5820"/>
      </w:tblGrid>
      <w:tr w:rsidR="00266145" w14:paraId="7279297E" w14:textId="77777777">
        <w:trPr>
          <w:trHeight w:val="884"/>
        </w:trPr>
        <w:tc>
          <w:tcPr>
            <w:tcW w:w="3544" w:type="dxa"/>
            <w:tcBorders>
              <w:top w:val="single" w:sz="8" w:space="0" w:color="000000"/>
              <w:left w:val="single" w:sz="8" w:space="0" w:color="000000"/>
              <w:bottom w:val="single" w:sz="8" w:space="0" w:color="000000"/>
              <w:right w:val="single" w:sz="8" w:space="0" w:color="000000"/>
            </w:tcBorders>
          </w:tcPr>
          <w:p w14:paraId="74ACA8E6" w14:textId="77777777" w:rsidR="00266145" w:rsidRDefault="00640656">
            <w:pPr>
              <w:spacing w:after="0"/>
              <w:ind w:left="0"/>
            </w:pPr>
            <w:r>
              <w:rPr>
                <w:rFonts w:ascii="Arial" w:eastAsia="Arial" w:hAnsi="Arial" w:cs="Arial"/>
              </w:rPr>
              <w:t xml:space="preserve">Name of unit conducting a component </w:t>
            </w:r>
          </w:p>
        </w:tc>
        <w:tc>
          <w:tcPr>
            <w:tcW w:w="5820" w:type="dxa"/>
            <w:tcBorders>
              <w:top w:val="single" w:sz="8" w:space="0" w:color="000000"/>
              <w:left w:val="single" w:sz="8" w:space="0" w:color="000000"/>
              <w:bottom w:val="single" w:sz="8" w:space="0" w:color="000000"/>
              <w:right w:val="single" w:sz="8" w:space="0" w:color="000000"/>
            </w:tcBorders>
          </w:tcPr>
          <w:p w14:paraId="1ED87E7C" w14:textId="77777777" w:rsidR="00266145" w:rsidRDefault="00640656">
            <w:pPr>
              <w:spacing w:after="0"/>
              <w:ind w:left="0"/>
            </w:pPr>
            <w:r>
              <w:rPr>
                <w:rFonts w:ascii="Arial" w:eastAsia="Arial" w:hAnsi="Arial" w:cs="Arial"/>
                <w:i/>
              </w:rPr>
              <w:t xml:space="preserve">Doctoral School of Social Sciences </w:t>
            </w:r>
          </w:p>
        </w:tc>
      </w:tr>
      <w:tr w:rsidR="00266145" w14:paraId="09ABBCF5" w14:textId="77777777">
        <w:trPr>
          <w:trHeight w:val="1119"/>
        </w:trPr>
        <w:tc>
          <w:tcPr>
            <w:tcW w:w="3544" w:type="dxa"/>
            <w:tcBorders>
              <w:top w:val="single" w:sz="8" w:space="0" w:color="000000"/>
              <w:left w:val="single" w:sz="8" w:space="0" w:color="000000"/>
              <w:bottom w:val="single" w:sz="8" w:space="0" w:color="000000"/>
              <w:right w:val="single" w:sz="8" w:space="0" w:color="000000"/>
            </w:tcBorders>
          </w:tcPr>
          <w:p w14:paraId="2D39CDCC" w14:textId="77777777" w:rsidR="00266145" w:rsidRDefault="00640656">
            <w:pPr>
              <w:spacing w:after="0"/>
              <w:ind w:left="0"/>
            </w:pPr>
            <w:r>
              <w:rPr>
                <w:rFonts w:ascii="Arial" w:eastAsia="Arial" w:hAnsi="Arial" w:cs="Arial"/>
              </w:rPr>
              <w:t xml:space="preserve">Name of an educational component </w:t>
            </w:r>
          </w:p>
        </w:tc>
        <w:tc>
          <w:tcPr>
            <w:tcW w:w="5820" w:type="dxa"/>
            <w:tcBorders>
              <w:top w:val="single" w:sz="8" w:space="0" w:color="000000"/>
              <w:left w:val="single" w:sz="8" w:space="0" w:color="000000"/>
              <w:bottom w:val="single" w:sz="8" w:space="0" w:color="000000"/>
              <w:right w:val="single" w:sz="8" w:space="0" w:color="000000"/>
            </w:tcBorders>
          </w:tcPr>
          <w:p w14:paraId="1D98CAE0" w14:textId="77777777" w:rsidR="00266145" w:rsidRDefault="00640656">
            <w:pPr>
              <w:spacing w:after="0"/>
              <w:ind w:left="0"/>
            </w:pPr>
            <w:r>
              <w:rPr>
                <w:rFonts w:ascii="Arial" w:eastAsia="Arial" w:hAnsi="Arial" w:cs="Arial"/>
                <w:b/>
              </w:rPr>
              <w:t xml:space="preserve">Mental health in academia </w:t>
            </w:r>
          </w:p>
        </w:tc>
      </w:tr>
      <w:tr w:rsidR="00266145" w14:paraId="2B8039AD" w14:textId="77777777">
        <w:trPr>
          <w:trHeight w:val="883"/>
        </w:trPr>
        <w:tc>
          <w:tcPr>
            <w:tcW w:w="3544" w:type="dxa"/>
            <w:tcBorders>
              <w:top w:val="single" w:sz="8" w:space="0" w:color="000000"/>
              <w:left w:val="single" w:sz="8" w:space="0" w:color="000000"/>
              <w:bottom w:val="single" w:sz="8" w:space="0" w:color="000000"/>
              <w:right w:val="single" w:sz="8" w:space="0" w:color="000000"/>
            </w:tcBorders>
          </w:tcPr>
          <w:p w14:paraId="1C7CC4B8" w14:textId="77777777" w:rsidR="00266145" w:rsidRDefault="00640656">
            <w:pPr>
              <w:spacing w:after="0"/>
              <w:ind w:left="0"/>
            </w:pPr>
            <w:r>
              <w:rPr>
                <w:rFonts w:ascii="Arial" w:eastAsia="Arial" w:hAnsi="Arial" w:cs="Arial"/>
              </w:rPr>
              <w:t xml:space="preserve">Language of education </w:t>
            </w:r>
          </w:p>
        </w:tc>
        <w:tc>
          <w:tcPr>
            <w:tcW w:w="5820" w:type="dxa"/>
            <w:tcBorders>
              <w:top w:val="single" w:sz="8" w:space="0" w:color="000000"/>
              <w:left w:val="single" w:sz="8" w:space="0" w:color="000000"/>
              <w:bottom w:val="single" w:sz="8" w:space="0" w:color="000000"/>
              <w:right w:val="single" w:sz="8" w:space="0" w:color="000000"/>
            </w:tcBorders>
          </w:tcPr>
          <w:p w14:paraId="799385C8" w14:textId="77777777" w:rsidR="00266145" w:rsidRDefault="00640656">
            <w:pPr>
              <w:spacing w:after="0"/>
              <w:ind w:left="0"/>
            </w:pPr>
            <w:r>
              <w:rPr>
                <w:rFonts w:ascii="Arial" w:eastAsia="Arial" w:hAnsi="Arial" w:cs="Arial"/>
              </w:rPr>
              <w:t xml:space="preserve">English </w:t>
            </w:r>
          </w:p>
        </w:tc>
      </w:tr>
      <w:tr w:rsidR="00266145" w14:paraId="35CB1D09" w14:textId="77777777">
        <w:trPr>
          <w:trHeight w:val="6343"/>
        </w:trPr>
        <w:tc>
          <w:tcPr>
            <w:tcW w:w="3544" w:type="dxa"/>
            <w:tcBorders>
              <w:top w:val="single" w:sz="8" w:space="0" w:color="000000"/>
              <w:left w:val="single" w:sz="8" w:space="0" w:color="000000"/>
              <w:bottom w:val="single" w:sz="8" w:space="0" w:color="000000"/>
              <w:right w:val="single" w:sz="8" w:space="0" w:color="000000"/>
            </w:tcBorders>
          </w:tcPr>
          <w:p w14:paraId="71316A9A" w14:textId="77777777" w:rsidR="00266145" w:rsidRDefault="00640656">
            <w:pPr>
              <w:spacing w:after="0"/>
              <w:ind w:left="0"/>
            </w:pPr>
            <w:r>
              <w:rPr>
                <w:rFonts w:ascii="Arial" w:eastAsia="Arial" w:hAnsi="Arial" w:cs="Arial"/>
              </w:rPr>
              <w:t xml:space="preserve">Goals of education </w:t>
            </w:r>
          </w:p>
        </w:tc>
        <w:tc>
          <w:tcPr>
            <w:tcW w:w="5820" w:type="dxa"/>
            <w:tcBorders>
              <w:top w:val="single" w:sz="8" w:space="0" w:color="000000"/>
              <w:left w:val="single" w:sz="8" w:space="0" w:color="000000"/>
              <w:bottom w:val="single" w:sz="8" w:space="0" w:color="000000"/>
              <w:right w:val="single" w:sz="8" w:space="0" w:color="000000"/>
            </w:tcBorders>
          </w:tcPr>
          <w:p w14:paraId="0FD37E19" w14:textId="77777777" w:rsidR="00266145" w:rsidRDefault="00640656">
            <w:pPr>
              <w:spacing w:after="199" w:line="275" w:lineRule="auto"/>
              <w:ind w:left="0" w:right="56"/>
              <w:jc w:val="both"/>
            </w:pPr>
            <w:r>
              <w:rPr>
                <w:rFonts w:ascii="Arial" w:eastAsia="Arial" w:hAnsi="Arial" w:cs="Arial"/>
              </w:rPr>
              <w:t xml:space="preserve">There are two main goals of this course – familiarization of the PhD students with potentially psychologically challenging and protecting factors of working in academia and equipping them with tools that may improve their psychological wellbeing in the process of acquiring a PhD. </w:t>
            </w:r>
          </w:p>
          <w:p w14:paraId="3F994B24" w14:textId="77777777" w:rsidR="00266145" w:rsidRDefault="00640656">
            <w:pPr>
              <w:spacing w:after="198" w:line="275" w:lineRule="auto"/>
              <w:ind w:left="0" w:right="57"/>
              <w:jc w:val="both"/>
            </w:pPr>
            <w:r>
              <w:rPr>
                <w:rFonts w:ascii="Arial" w:eastAsia="Arial" w:hAnsi="Arial" w:cs="Arial"/>
              </w:rPr>
              <w:t xml:space="preserve">During this course we will discuss both systemic (such as e.g. various academic bad practices, experiences of unequal treatment, discrimination) and individual (e.g. impostor syndrome, excessive self-criticism or perfectionism) factors contributing to mental health challenges in academia from interdisciplinary point of view. The discussions will be based on research papers, columns in periodicals devoted to higher education (e.g. Nature) and participants’ experiences. Finally, we will discuss practical ways of creating a supportive studying environment and specific psychological skills that can facilitate the process of obtaining a PhD without compromising mental health status of the student. </w:t>
            </w:r>
          </w:p>
          <w:p w14:paraId="76E4778C" w14:textId="77777777" w:rsidR="00266145" w:rsidRDefault="00640656">
            <w:pPr>
              <w:spacing w:after="0"/>
              <w:ind w:left="0"/>
            </w:pPr>
            <w:r>
              <w:rPr>
                <w:rFonts w:ascii="Arial" w:eastAsia="Arial" w:hAnsi="Arial" w:cs="Arial"/>
              </w:rPr>
              <w:t xml:space="preserve"> </w:t>
            </w:r>
          </w:p>
        </w:tc>
      </w:tr>
    </w:tbl>
    <w:p w14:paraId="4C25C0C1" w14:textId="77777777" w:rsidR="00266145" w:rsidRDefault="00266145">
      <w:pPr>
        <w:spacing w:after="0"/>
        <w:ind w:left="-1440" w:right="88"/>
      </w:pPr>
    </w:p>
    <w:tbl>
      <w:tblPr>
        <w:tblStyle w:val="TableGrid"/>
        <w:tblW w:w="9364" w:type="dxa"/>
        <w:tblInd w:w="10" w:type="dxa"/>
        <w:tblCellMar>
          <w:top w:w="112" w:type="dxa"/>
          <w:left w:w="101" w:type="dxa"/>
          <w:right w:w="73" w:type="dxa"/>
        </w:tblCellMar>
        <w:tblLook w:val="04A0" w:firstRow="1" w:lastRow="0" w:firstColumn="1" w:lastColumn="0" w:noHBand="0" w:noVBand="1"/>
      </w:tblPr>
      <w:tblGrid>
        <w:gridCol w:w="3544"/>
        <w:gridCol w:w="5820"/>
      </w:tblGrid>
      <w:tr w:rsidR="00266145" w14:paraId="123BDF34" w14:textId="77777777">
        <w:trPr>
          <w:trHeight w:val="6057"/>
        </w:trPr>
        <w:tc>
          <w:tcPr>
            <w:tcW w:w="3544" w:type="dxa"/>
            <w:tcBorders>
              <w:top w:val="single" w:sz="6" w:space="0" w:color="000000"/>
              <w:left w:val="single" w:sz="8" w:space="0" w:color="000000"/>
              <w:bottom w:val="single" w:sz="8" w:space="0" w:color="000000"/>
              <w:right w:val="single" w:sz="8" w:space="0" w:color="000000"/>
            </w:tcBorders>
          </w:tcPr>
          <w:p w14:paraId="5F6087D3" w14:textId="77777777" w:rsidR="00266145" w:rsidRDefault="00640656">
            <w:pPr>
              <w:spacing w:after="0"/>
              <w:ind w:left="0"/>
              <w:jc w:val="both"/>
            </w:pPr>
            <w:r>
              <w:rPr>
                <w:rFonts w:ascii="Arial" w:eastAsia="Arial" w:hAnsi="Arial" w:cs="Arial"/>
              </w:rPr>
              <w:lastRenderedPageBreak/>
              <w:t xml:space="preserve">Learning outcomes of an educational component </w:t>
            </w:r>
          </w:p>
        </w:tc>
        <w:tc>
          <w:tcPr>
            <w:tcW w:w="5820" w:type="dxa"/>
            <w:tcBorders>
              <w:top w:val="single" w:sz="6" w:space="0" w:color="000000"/>
              <w:left w:val="single" w:sz="8" w:space="0" w:color="000000"/>
              <w:bottom w:val="single" w:sz="8" w:space="0" w:color="000000"/>
              <w:right w:val="single" w:sz="8" w:space="0" w:color="000000"/>
            </w:tcBorders>
          </w:tcPr>
          <w:p w14:paraId="15479015" w14:textId="77777777" w:rsidR="00266145" w:rsidRDefault="00640656">
            <w:pPr>
              <w:spacing w:after="197" w:line="277" w:lineRule="auto"/>
              <w:ind w:left="0"/>
            </w:pPr>
            <w:r>
              <w:rPr>
                <w:rFonts w:ascii="Arial" w:eastAsia="Arial" w:hAnsi="Arial" w:cs="Arial"/>
              </w:rPr>
              <w:t xml:space="preserve">W2 Knows and understands the main issues related to mental health and academia </w:t>
            </w:r>
          </w:p>
          <w:p w14:paraId="756F34B7" w14:textId="77777777" w:rsidR="00266145" w:rsidRDefault="00640656">
            <w:pPr>
              <w:spacing w:after="199" w:line="275" w:lineRule="auto"/>
              <w:ind w:left="0"/>
            </w:pPr>
            <w:r>
              <w:rPr>
                <w:rFonts w:ascii="Arial" w:eastAsia="Arial" w:hAnsi="Arial" w:cs="Arial"/>
              </w:rPr>
              <w:t xml:space="preserve">U1 Is able to use knowledge from various fields of science, including primarily the area of social sciences, to creatively identify, formulate and innovatively solve complex problems related to mental health in academia </w:t>
            </w:r>
          </w:p>
          <w:p w14:paraId="46464E6F" w14:textId="77777777" w:rsidR="00266145" w:rsidRDefault="00640656">
            <w:pPr>
              <w:spacing w:after="0"/>
              <w:ind w:left="0"/>
            </w:pPr>
            <w:r>
              <w:rPr>
                <w:rFonts w:ascii="Arial" w:eastAsia="Arial" w:hAnsi="Arial" w:cs="Arial"/>
              </w:rPr>
              <w:t xml:space="preserve">K4 Is ready to think and act in an entrepreneurial way, create new ideas and seek - in cooperation with people representing other disciplines - innovative solutions in order to solve problems related to mental health in academia </w:t>
            </w:r>
          </w:p>
        </w:tc>
      </w:tr>
      <w:tr w:rsidR="00266145" w14:paraId="604C2B31" w14:textId="77777777">
        <w:trPr>
          <w:trHeight w:val="1580"/>
        </w:trPr>
        <w:tc>
          <w:tcPr>
            <w:tcW w:w="3544" w:type="dxa"/>
            <w:tcBorders>
              <w:top w:val="single" w:sz="8" w:space="0" w:color="000000"/>
              <w:left w:val="single" w:sz="8" w:space="0" w:color="000000"/>
              <w:bottom w:val="single" w:sz="8" w:space="0" w:color="000000"/>
              <w:right w:val="single" w:sz="8" w:space="0" w:color="000000"/>
            </w:tcBorders>
          </w:tcPr>
          <w:p w14:paraId="1DEE906E" w14:textId="77777777" w:rsidR="00266145" w:rsidRDefault="00640656">
            <w:pPr>
              <w:spacing w:after="0"/>
              <w:ind w:left="0"/>
            </w:pPr>
            <w:r>
              <w:rPr>
                <w:rFonts w:ascii="Arial" w:eastAsia="Arial" w:hAnsi="Arial" w:cs="Arial"/>
              </w:rPr>
              <w:t xml:space="preserve">Verification methods and assessment criteria of learning outcomes obtained by students </w:t>
            </w:r>
          </w:p>
        </w:tc>
        <w:tc>
          <w:tcPr>
            <w:tcW w:w="5820" w:type="dxa"/>
            <w:tcBorders>
              <w:top w:val="single" w:sz="8" w:space="0" w:color="000000"/>
              <w:left w:val="single" w:sz="8" w:space="0" w:color="000000"/>
              <w:bottom w:val="single" w:sz="8" w:space="0" w:color="000000"/>
              <w:right w:val="single" w:sz="8" w:space="0" w:color="000000"/>
            </w:tcBorders>
          </w:tcPr>
          <w:p w14:paraId="64278AD3" w14:textId="77777777" w:rsidR="00266145" w:rsidRDefault="00640656">
            <w:pPr>
              <w:spacing w:after="0" w:line="277" w:lineRule="auto"/>
              <w:ind w:left="0"/>
            </w:pPr>
            <w:r>
              <w:rPr>
                <w:rFonts w:ascii="Arial" w:eastAsia="Arial" w:hAnsi="Arial" w:cs="Arial"/>
              </w:rPr>
              <w:t xml:space="preserve">Group project: writing and disseminating a short report devoted to evidence-and-experience-based </w:t>
            </w:r>
          </w:p>
          <w:p w14:paraId="5C05A9B3" w14:textId="77777777" w:rsidR="00266145" w:rsidRDefault="00640656">
            <w:pPr>
              <w:spacing w:after="0"/>
              <w:ind w:left="0"/>
            </w:pPr>
            <w:r>
              <w:rPr>
                <w:rFonts w:ascii="Arial" w:eastAsia="Arial" w:hAnsi="Arial" w:cs="Arial"/>
              </w:rPr>
              <w:t xml:space="preserve">recommendations for mental health prophylaxis and selfcare in academia </w:t>
            </w:r>
          </w:p>
        </w:tc>
      </w:tr>
      <w:tr w:rsidR="00266145" w14:paraId="225AE979" w14:textId="77777777">
        <w:trPr>
          <w:trHeight w:val="927"/>
        </w:trPr>
        <w:tc>
          <w:tcPr>
            <w:tcW w:w="3544" w:type="dxa"/>
            <w:tcBorders>
              <w:top w:val="single" w:sz="8" w:space="0" w:color="000000"/>
              <w:left w:val="single" w:sz="8" w:space="0" w:color="000000"/>
              <w:bottom w:val="single" w:sz="8" w:space="0" w:color="000000"/>
              <w:right w:val="single" w:sz="8" w:space="0" w:color="000000"/>
            </w:tcBorders>
          </w:tcPr>
          <w:p w14:paraId="6521D79B" w14:textId="77777777" w:rsidR="00266145" w:rsidRDefault="00640656">
            <w:pPr>
              <w:spacing w:after="0"/>
              <w:ind w:left="0"/>
            </w:pPr>
            <w:r>
              <w:rPr>
                <w:rFonts w:ascii="Arial" w:eastAsia="Arial" w:hAnsi="Arial" w:cs="Arial"/>
              </w:rPr>
              <w:t xml:space="preserve">Type of an educational component (obligatory/optional) </w:t>
            </w:r>
          </w:p>
        </w:tc>
        <w:tc>
          <w:tcPr>
            <w:tcW w:w="5820" w:type="dxa"/>
            <w:tcBorders>
              <w:top w:val="single" w:sz="8" w:space="0" w:color="000000"/>
              <w:left w:val="single" w:sz="8" w:space="0" w:color="000000"/>
              <w:bottom w:val="single" w:sz="8" w:space="0" w:color="000000"/>
              <w:right w:val="single" w:sz="8" w:space="0" w:color="000000"/>
            </w:tcBorders>
          </w:tcPr>
          <w:p w14:paraId="5E594939" w14:textId="77777777" w:rsidR="00266145" w:rsidRDefault="00640656">
            <w:pPr>
              <w:spacing w:after="0"/>
              <w:ind w:left="0"/>
            </w:pPr>
            <w:r>
              <w:rPr>
                <w:rFonts w:ascii="Arial" w:eastAsia="Arial" w:hAnsi="Arial" w:cs="Arial"/>
              </w:rPr>
              <w:t xml:space="preserve">Optional </w:t>
            </w:r>
          </w:p>
        </w:tc>
      </w:tr>
      <w:tr w:rsidR="00266145" w14:paraId="1380DB23" w14:textId="77777777">
        <w:trPr>
          <w:trHeight w:val="878"/>
        </w:trPr>
        <w:tc>
          <w:tcPr>
            <w:tcW w:w="3544" w:type="dxa"/>
            <w:tcBorders>
              <w:top w:val="single" w:sz="8" w:space="0" w:color="000000"/>
              <w:left w:val="single" w:sz="8" w:space="0" w:color="000000"/>
              <w:bottom w:val="single" w:sz="8" w:space="0" w:color="000000"/>
              <w:right w:val="single" w:sz="8" w:space="0" w:color="000000"/>
            </w:tcBorders>
          </w:tcPr>
          <w:p w14:paraId="14BB91AA" w14:textId="77777777" w:rsidR="00266145" w:rsidRDefault="00640656">
            <w:pPr>
              <w:spacing w:after="0"/>
              <w:ind w:left="0"/>
            </w:pPr>
            <w:r>
              <w:rPr>
                <w:rFonts w:ascii="Arial" w:eastAsia="Arial" w:hAnsi="Arial" w:cs="Arial"/>
              </w:rPr>
              <w:t xml:space="preserve">Year of study </w:t>
            </w:r>
          </w:p>
        </w:tc>
        <w:tc>
          <w:tcPr>
            <w:tcW w:w="5820" w:type="dxa"/>
            <w:tcBorders>
              <w:top w:val="single" w:sz="8" w:space="0" w:color="000000"/>
              <w:left w:val="single" w:sz="8" w:space="0" w:color="000000"/>
              <w:bottom w:val="single" w:sz="8" w:space="0" w:color="000000"/>
              <w:right w:val="single" w:sz="8" w:space="0" w:color="000000"/>
            </w:tcBorders>
          </w:tcPr>
          <w:p w14:paraId="7ACFDDE7" w14:textId="77777777" w:rsidR="00266145" w:rsidRDefault="00640656">
            <w:pPr>
              <w:spacing w:after="0"/>
              <w:ind w:left="0"/>
            </w:pPr>
            <w:r>
              <w:rPr>
                <w:rFonts w:ascii="Arial" w:eastAsia="Arial" w:hAnsi="Arial" w:cs="Arial"/>
              </w:rPr>
              <w:t xml:space="preserve">I - IV </w:t>
            </w:r>
          </w:p>
        </w:tc>
      </w:tr>
      <w:tr w:rsidR="00266145" w14:paraId="3D6340A7" w14:textId="77777777">
        <w:trPr>
          <w:trHeight w:val="884"/>
        </w:trPr>
        <w:tc>
          <w:tcPr>
            <w:tcW w:w="3544" w:type="dxa"/>
            <w:tcBorders>
              <w:top w:val="single" w:sz="8" w:space="0" w:color="000000"/>
              <w:left w:val="single" w:sz="8" w:space="0" w:color="000000"/>
              <w:bottom w:val="single" w:sz="8" w:space="0" w:color="000000"/>
              <w:right w:val="single" w:sz="8" w:space="0" w:color="000000"/>
            </w:tcBorders>
          </w:tcPr>
          <w:p w14:paraId="516376B3" w14:textId="77777777" w:rsidR="00266145" w:rsidRDefault="00640656">
            <w:pPr>
              <w:spacing w:after="0"/>
              <w:ind w:left="0"/>
            </w:pPr>
            <w:r>
              <w:rPr>
                <w:rFonts w:ascii="Arial" w:eastAsia="Arial" w:hAnsi="Arial" w:cs="Arial"/>
              </w:rPr>
              <w:t xml:space="preserve">Semester               </w:t>
            </w:r>
          </w:p>
        </w:tc>
        <w:tc>
          <w:tcPr>
            <w:tcW w:w="5820" w:type="dxa"/>
            <w:tcBorders>
              <w:top w:val="single" w:sz="8" w:space="0" w:color="000000"/>
              <w:left w:val="single" w:sz="8" w:space="0" w:color="000000"/>
              <w:bottom w:val="single" w:sz="8" w:space="0" w:color="000000"/>
              <w:right w:val="single" w:sz="8" w:space="0" w:color="000000"/>
            </w:tcBorders>
          </w:tcPr>
          <w:p w14:paraId="6FCD9893" w14:textId="2A3146E7" w:rsidR="00266145" w:rsidRDefault="00640656">
            <w:pPr>
              <w:spacing w:after="0"/>
              <w:ind w:left="0"/>
            </w:pPr>
            <w:r>
              <w:rPr>
                <w:rFonts w:ascii="Arial" w:eastAsia="Arial" w:hAnsi="Arial" w:cs="Arial"/>
              </w:rPr>
              <w:t xml:space="preserve">Winter </w:t>
            </w:r>
          </w:p>
        </w:tc>
      </w:tr>
      <w:tr w:rsidR="00266145" w:rsidRPr="00640656" w14:paraId="55EAB09C" w14:textId="77777777">
        <w:trPr>
          <w:trHeight w:val="1378"/>
        </w:trPr>
        <w:tc>
          <w:tcPr>
            <w:tcW w:w="3544" w:type="dxa"/>
            <w:tcBorders>
              <w:top w:val="single" w:sz="8" w:space="0" w:color="000000"/>
              <w:left w:val="single" w:sz="8" w:space="0" w:color="000000"/>
              <w:bottom w:val="single" w:sz="8" w:space="0" w:color="000000"/>
              <w:right w:val="single" w:sz="8" w:space="0" w:color="000000"/>
            </w:tcBorders>
            <w:vAlign w:val="center"/>
          </w:tcPr>
          <w:p w14:paraId="23B42D3F" w14:textId="77777777" w:rsidR="00266145" w:rsidRDefault="00640656">
            <w:pPr>
              <w:spacing w:after="0"/>
              <w:ind w:left="0" w:right="534"/>
              <w:jc w:val="both"/>
            </w:pPr>
            <w:r>
              <w:rPr>
                <w:rFonts w:ascii="Arial" w:eastAsia="Arial" w:hAnsi="Arial" w:cs="Arial"/>
              </w:rPr>
              <w:lastRenderedPageBreak/>
              <w:t xml:space="preserve">Name and surname of the coordinator of a component and/or person/s conducting a component  </w:t>
            </w:r>
          </w:p>
        </w:tc>
        <w:tc>
          <w:tcPr>
            <w:tcW w:w="5820" w:type="dxa"/>
            <w:tcBorders>
              <w:top w:val="single" w:sz="8" w:space="0" w:color="000000"/>
              <w:left w:val="single" w:sz="8" w:space="0" w:color="000000"/>
              <w:bottom w:val="single" w:sz="8" w:space="0" w:color="000000"/>
              <w:right w:val="single" w:sz="8" w:space="0" w:color="000000"/>
            </w:tcBorders>
          </w:tcPr>
          <w:p w14:paraId="523896EA" w14:textId="77777777" w:rsidR="00266145" w:rsidRPr="00640656" w:rsidRDefault="00640656">
            <w:pPr>
              <w:spacing w:after="253"/>
              <w:ind w:left="0"/>
              <w:rPr>
                <w:lang w:val="pl-PL"/>
              </w:rPr>
            </w:pPr>
            <w:r w:rsidRPr="00640656">
              <w:rPr>
                <w:rFonts w:ascii="Arial" w:eastAsia="Arial" w:hAnsi="Arial" w:cs="Arial"/>
                <w:lang w:val="pl-PL"/>
              </w:rPr>
              <w:t xml:space="preserve">Dr Joanna Grzymała-Moszczyńska </w:t>
            </w:r>
          </w:p>
          <w:p w14:paraId="60025E5B" w14:textId="77777777" w:rsidR="00266145" w:rsidRPr="00640656" w:rsidRDefault="00640656">
            <w:pPr>
              <w:spacing w:after="0"/>
              <w:ind w:left="0"/>
              <w:rPr>
                <w:lang w:val="pl-PL"/>
              </w:rPr>
            </w:pPr>
            <w:r w:rsidRPr="00640656">
              <w:rPr>
                <w:rFonts w:ascii="Arial" w:eastAsia="Arial" w:hAnsi="Arial" w:cs="Arial"/>
                <w:lang w:val="pl-PL"/>
              </w:rPr>
              <w:t xml:space="preserve">Dr Weronika </w:t>
            </w:r>
            <w:proofErr w:type="spellStart"/>
            <w:r w:rsidRPr="00640656">
              <w:rPr>
                <w:rFonts w:ascii="Arial" w:eastAsia="Arial" w:hAnsi="Arial" w:cs="Arial"/>
                <w:lang w:val="pl-PL"/>
              </w:rPr>
              <w:t>Kałwak</w:t>
            </w:r>
            <w:proofErr w:type="spellEnd"/>
            <w:r w:rsidRPr="00640656">
              <w:rPr>
                <w:rFonts w:ascii="Arial" w:eastAsia="Arial" w:hAnsi="Arial" w:cs="Arial"/>
                <w:lang w:val="pl-PL"/>
              </w:rPr>
              <w:t xml:space="preserve"> </w:t>
            </w:r>
          </w:p>
        </w:tc>
      </w:tr>
    </w:tbl>
    <w:p w14:paraId="27862B90" w14:textId="77777777" w:rsidR="00266145" w:rsidRPr="00640656" w:rsidRDefault="00266145">
      <w:pPr>
        <w:spacing w:after="0"/>
        <w:ind w:left="-1440" w:right="88"/>
        <w:rPr>
          <w:lang w:val="pl-PL"/>
        </w:rPr>
      </w:pPr>
    </w:p>
    <w:tbl>
      <w:tblPr>
        <w:tblStyle w:val="TableGrid"/>
        <w:tblW w:w="9364" w:type="dxa"/>
        <w:tblInd w:w="10" w:type="dxa"/>
        <w:tblCellMar>
          <w:top w:w="112" w:type="dxa"/>
          <w:left w:w="101" w:type="dxa"/>
          <w:right w:w="45" w:type="dxa"/>
        </w:tblCellMar>
        <w:tblLook w:val="04A0" w:firstRow="1" w:lastRow="0" w:firstColumn="1" w:lastColumn="0" w:noHBand="0" w:noVBand="1"/>
      </w:tblPr>
      <w:tblGrid>
        <w:gridCol w:w="3544"/>
        <w:gridCol w:w="5820"/>
      </w:tblGrid>
      <w:tr w:rsidR="00266145" w14:paraId="4927CAFF" w14:textId="77777777">
        <w:trPr>
          <w:trHeight w:val="1673"/>
        </w:trPr>
        <w:tc>
          <w:tcPr>
            <w:tcW w:w="3544" w:type="dxa"/>
            <w:tcBorders>
              <w:top w:val="single" w:sz="6" w:space="0" w:color="000000"/>
              <w:left w:val="single" w:sz="8" w:space="0" w:color="000000"/>
              <w:bottom w:val="single" w:sz="8" w:space="0" w:color="000000"/>
              <w:right w:val="single" w:sz="8" w:space="0" w:color="000000"/>
            </w:tcBorders>
            <w:vAlign w:val="center"/>
          </w:tcPr>
          <w:p w14:paraId="6141F373" w14:textId="77777777" w:rsidR="00266145" w:rsidRDefault="00640656">
            <w:pPr>
              <w:spacing w:after="0"/>
              <w:ind w:left="0" w:right="55"/>
              <w:jc w:val="both"/>
            </w:pPr>
            <w:r>
              <w:rPr>
                <w:rFonts w:ascii="Arial" w:eastAsia="Arial" w:hAnsi="Arial" w:cs="Arial"/>
              </w:rPr>
              <w:t xml:space="preserve">Name and surname of person/s conducting an examination or granting credit in the case when this </w:t>
            </w:r>
            <w:proofErr w:type="spellStart"/>
            <w:r>
              <w:rPr>
                <w:rFonts w:ascii="Arial" w:eastAsia="Arial" w:hAnsi="Arial" w:cs="Arial"/>
              </w:rPr>
              <w:t>sposóis</w:t>
            </w:r>
            <w:proofErr w:type="spellEnd"/>
            <w:r>
              <w:rPr>
                <w:rFonts w:ascii="Arial" w:eastAsia="Arial" w:hAnsi="Arial" w:cs="Arial"/>
              </w:rPr>
              <w:t xml:space="preserve"> other person than conducting a component  </w:t>
            </w:r>
          </w:p>
        </w:tc>
        <w:tc>
          <w:tcPr>
            <w:tcW w:w="5820" w:type="dxa"/>
            <w:tcBorders>
              <w:top w:val="single" w:sz="6" w:space="0" w:color="000000"/>
              <w:left w:val="single" w:sz="8" w:space="0" w:color="000000"/>
              <w:bottom w:val="single" w:sz="8" w:space="0" w:color="000000"/>
              <w:right w:val="single" w:sz="8" w:space="0" w:color="000000"/>
            </w:tcBorders>
          </w:tcPr>
          <w:p w14:paraId="3A256F33" w14:textId="77777777" w:rsidR="00266145" w:rsidRDefault="00640656">
            <w:pPr>
              <w:spacing w:after="0"/>
              <w:ind w:left="0"/>
            </w:pPr>
            <w:r>
              <w:rPr>
                <w:rFonts w:ascii="Arial" w:eastAsia="Arial" w:hAnsi="Arial" w:cs="Arial"/>
              </w:rPr>
              <w:t xml:space="preserve"> as above3 </w:t>
            </w:r>
          </w:p>
        </w:tc>
      </w:tr>
      <w:tr w:rsidR="00266145" w14:paraId="3FA92134" w14:textId="77777777">
        <w:trPr>
          <w:trHeight w:val="879"/>
        </w:trPr>
        <w:tc>
          <w:tcPr>
            <w:tcW w:w="3544" w:type="dxa"/>
            <w:tcBorders>
              <w:top w:val="single" w:sz="8" w:space="0" w:color="000000"/>
              <w:left w:val="single" w:sz="8" w:space="0" w:color="000000"/>
              <w:bottom w:val="single" w:sz="8" w:space="0" w:color="000000"/>
              <w:right w:val="single" w:sz="8" w:space="0" w:color="000000"/>
            </w:tcBorders>
          </w:tcPr>
          <w:p w14:paraId="16A37FD1" w14:textId="77777777" w:rsidR="00266145" w:rsidRDefault="00640656">
            <w:pPr>
              <w:spacing w:after="0"/>
              <w:ind w:left="0"/>
            </w:pPr>
            <w:r>
              <w:rPr>
                <w:rFonts w:ascii="Arial" w:eastAsia="Arial" w:hAnsi="Arial" w:cs="Arial"/>
              </w:rPr>
              <w:t xml:space="preserve">Manner of completion   </w:t>
            </w:r>
          </w:p>
        </w:tc>
        <w:tc>
          <w:tcPr>
            <w:tcW w:w="5820" w:type="dxa"/>
            <w:tcBorders>
              <w:top w:val="single" w:sz="8" w:space="0" w:color="000000"/>
              <w:left w:val="single" w:sz="8" w:space="0" w:color="000000"/>
              <w:bottom w:val="single" w:sz="8" w:space="0" w:color="000000"/>
              <w:right w:val="single" w:sz="8" w:space="0" w:color="000000"/>
            </w:tcBorders>
          </w:tcPr>
          <w:p w14:paraId="196B2CFA" w14:textId="77777777" w:rsidR="00266145" w:rsidRDefault="00640656">
            <w:pPr>
              <w:spacing w:after="0"/>
              <w:ind w:left="0"/>
            </w:pPr>
            <w:r>
              <w:rPr>
                <w:rFonts w:ascii="Arial" w:eastAsia="Arial" w:hAnsi="Arial" w:cs="Arial"/>
              </w:rPr>
              <w:t xml:space="preserve">Workshop </w:t>
            </w:r>
          </w:p>
        </w:tc>
      </w:tr>
      <w:tr w:rsidR="00266145" w14:paraId="7AC50D4B" w14:textId="77777777">
        <w:trPr>
          <w:trHeight w:val="998"/>
        </w:trPr>
        <w:tc>
          <w:tcPr>
            <w:tcW w:w="3544" w:type="dxa"/>
            <w:tcBorders>
              <w:top w:val="single" w:sz="8" w:space="0" w:color="000000"/>
              <w:left w:val="single" w:sz="8" w:space="0" w:color="000000"/>
              <w:bottom w:val="single" w:sz="8" w:space="0" w:color="000000"/>
              <w:right w:val="single" w:sz="8" w:space="0" w:color="000000"/>
            </w:tcBorders>
          </w:tcPr>
          <w:p w14:paraId="566B8C13" w14:textId="77777777" w:rsidR="00266145" w:rsidRDefault="00640656">
            <w:pPr>
              <w:spacing w:after="0"/>
              <w:ind w:left="0"/>
            </w:pPr>
            <w:r>
              <w:rPr>
                <w:rFonts w:ascii="Arial" w:eastAsia="Arial" w:hAnsi="Arial" w:cs="Arial"/>
              </w:rPr>
              <w:t xml:space="preserve">Preliminary and additional requirements  </w:t>
            </w:r>
          </w:p>
        </w:tc>
        <w:tc>
          <w:tcPr>
            <w:tcW w:w="5820" w:type="dxa"/>
            <w:tcBorders>
              <w:top w:val="single" w:sz="8" w:space="0" w:color="000000"/>
              <w:left w:val="single" w:sz="8" w:space="0" w:color="000000"/>
              <w:bottom w:val="single" w:sz="8" w:space="0" w:color="000000"/>
              <w:right w:val="single" w:sz="8" w:space="0" w:color="000000"/>
            </w:tcBorders>
          </w:tcPr>
          <w:p w14:paraId="76E999FA" w14:textId="77777777" w:rsidR="00266145" w:rsidRDefault="00640656">
            <w:pPr>
              <w:spacing w:after="0"/>
              <w:ind w:left="0"/>
            </w:pPr>
            <w:r>
              <w:rPr>
                <w:rFonts w:ascii="Arial" w:eastAsia="Arial" w:hAnsi="Arial" w:cs="Arial"/>
              </w:rPr>
              <w:t xml:space="preserve">None </w:t>
            </w:r>
          </w:p>
        </w:tc>
      </w:tr>
      <w:tr w:rsidR="00266145" w14:paraId="15C120A2" w14:textId="77777777">
        <w:trPr>
          <w:trHeight w:val="1959"/>
        </w:trPr>
        <w:tc>
          <w:tcPr>
            <w:tcW w:w="3544" w:type="dxa"/>
            <w:tcBorders>
              <w:top w:val="single" w:sz="8" w:space="0" w:color="000000"/>
              <w:left w:val="single" w:sz="8" w:space="0" w:color="000000"/>
              <w:bottom w:val="single" w:sz="8" w:space="0" w:color="000000"/>
              <w:right w:val="single" w:sz="8" w:space="0" w:color="000000"/>
            </w:tcBorders>
            <w:vAlign w:val="center"/>
          </w:tcPr>
          <w:p w14:paraId="749BF1A6" w14:textId="77777777" w:rsidR="00266145" w:rsidRDefault="00640656">
            <w:pPr>
              <w:spacing w:after="2" w:line="275" w:lineRule="auto"/>
              <w:ind w:left="0" w:right="364"/>
              <w:jc w:val="both"/>
            </w:pPr>
            <w:r>
              <w:rPr>
                <w:rFonts w:ascii="Arial" w:eastAsia="Arial" w:hAnsi="Arial" w:cs="Arial"/>
              </w:rPr>
              <w:t xml:space="preserve">Type and number of hours of courses requiring direct participation of academic </w:t>
            </w:r>
          </w:p>
          <w:p w14:paraId="1D9273CE" w14:textId="77777777" w:rsidR="00266145" w:rsidRDefault="00640656">
            <w:pPr>
              <w:spacing w:after="0"/>
              <w:ind w:left="0" w:right="428"/>
              <w:jc w:val="both"/>
            </w:pPr>
            <w:r>
              <w:rPr>
                <w:rFonts w:ascii="Arial" w:eastAsia="Arial" w:hAnsi="Arial" w:cs="Arial"/>
              </w:rPr>
              <w:t xml:space="preserve">staff and students, if in a given component such courses are included  </w:t>
            </w:r>
          </w:p>
        </w:tc>
        <w:tc>
          <w:tcPr>
            <w:tcW w:w="5820" w:type="dxa"/>
            <w:tcBorders>
              <w:top w:val="single" w:sz="8" w:space="0" w:color="000000"/>
              <w:left w:val="single" w:sz="8" w:space="0" w:color="000000"/>
              <w:bottom w:val="single" w:sz="8" w:space="0" w:color="000000"/>
              <w:right w:val="single" w:sz="8" w:space="0" w:color="000000"/>
            </w:tcBorders>
          </w:tcPr>
          <w:p w14:paraId="16715B1D" w14:textId="77777777" w:rsidR="00266145" w:rsidRDefault="00640656">
            <w:pPr>
              <w:spacing w:after="0"/>
              <w:ind w:left="0"/>
            </w:pPr>
            <w:r>
              <w:rPr>
                <w:rFonts w:ascii="Arial" w:eastAsia="Arial" w:hAnsi="Arial" w:cs="Arial"/>
              </w:rPr>
              <w:t xml:space="preserve">Workshop – 30 h </w:t>
            </w:r>
          </w:p>
        </w:tc>
      </w:tr>
      <w:tr w:rsidR="00266145" w14:paraId="7EE199DD" w14:textId="77777777">
        <w:trPr>
          <w:trHeight w:val="926"/>
        </w:trPr>
        <w:tc>
          <w:tcPr>
            <w:tcW w:w="3544" w:type="dxa"/>
            <w:tcBorders>
              <w:top w:val="single" w:sz="8" w:space="0" w:color="000000"/>
              <w:left w:val="single" w:sz="8" w:space="0" w:color="000000"/>
              <w:bottom w:val="single" w:sz="8" w:space="0" w:color="000000"/>
              <w:right w:val="single" w:sz="8" w:space="0" w:color="000000"/>
            </w:tcBorders>
          </w:tcPr>
          <w:p w14:paraId="2D0DAA10" w14:textId="77777777" w:rsidR="00266145" w:rsidRDefault="00640656">
            <w:pPr>
              <w:spacing w:after="0"/>
              <w:ind w:left="0"/>
              <w:jc w:val="both"/>
            </w:pPr>
            <w:r>
              <w:rPr>
                <w:rFonts w:ascii="Arial" w:eastAsia="Arial" w:hAnsi="Arial" w:cs="Arial"/>
              </w:rPr>
              <w:t xml:space="preserve">Number of ECTS credits assigned to a component  </w:t>
            </w:r>
          </w:p>
        </w:tc>
        <w:tc>
          <w:tcPr>
            <w:tcW w:w="5820" w:type="dxa"/>
            <w:tcBorders>
              <w:top w:val="single" w:sz="8" w:space="0" w:color="000000"/>
              <w:left w:val="single" w:sz="8" w:space="0" w:color="000000"/>
              <w:bottom w:val="single" w:sz="8" w:space="0" w:color="000000"/>
              <w:right w:val="single" w:sz="8" w:space="0" w:color="000000"/>
            </w:tcBorders>
          </w:tcPr>
          <w:p w14:paraId="0041FF09" w14:textId="77777777" w:rsidR="00266145" w:rsidRDefault="00640656">
            <w:pPr>
              <w:spacing w:after="0"/>
              <w:ind w:left="0"/>
            </w:pPr>
            <w:r>
              <w:rPr>
                <w:rFonts w:ascii="Arial" w:eastAsia="Arial" w:hAnsi="Arial" w:cs="Arial"/>
              </w:rPr>
              <w:t xml:space="preserve">2 ECTS </w:t>
            </w:r>
          </w:p>
        </w:tc>
      </w:tr>
      <w:tr w:rsidR="00266145" w14:paraId="0D007991" w14:textId="77777777">
        <w:trPr>
          <w:trHeight w:val="2670"/>
        </w:trPr>
        <w:tc>
          <w:tcPr>
            <w:tcW w:w="3544" w:type="dxa"/>
            <w:tcBorders>
              <w:top w:val="single" w:sz="8" w:space="0" w:color="000000"/>
              <w:left w:val="single" w:sz="8" w:space="0" w:color="000000"/>
              <w:bottom w:val="single" w:sz="8" w:space="0" w:color="000000"/>
              <w:right w:val="single" w:sz="8" w:space="0" w:color="000000"/>
            </w:tcBorders>
          </w:tcPr>
          <w:p w14:paraId="2FD8A9D3" w14:textId="77777777" w:rsidR="00266145" w:rsidRDefault="00640656">
            <w:pPr>
              <w:spacing w:after="0"/>
              <w:ind w:left="0"/>
            </w:pPr>
            <w:r>
              <w:rPr>
                <w:rFonts w:ascii="Arial" w:eastAsia="Arial" w:hAnsi="Arial" w:cs="Arial"/>
              </w:rPr>
              <w:lastRenderedPageBreak/>
              <w:t xml:space="preserve">Balance of ECTS credits  </w:t>
            </w:r>
          </w:p>
        </w:tc>
        <w:tc>
          <w:tcPr>
            <w:tcW w:w="5820" w:type="dxa"/>
            <w:tcBorders>
              <w:top w:val="single" w:sz="8" w:space="0" w:color="000000"/>
              <w:left w:val="single" w:sz="8" w:space="0" w:color="000000"/>
              <w:bottom w:val="single" w:sz="8" w:space="0" w:color="000000"/>
              <w:right w:val="single" w:sz="8" w:space="0" w:color="000000"/>
            </w:tcBorders>
          </w:tcPr>
          <w:p w14:paraId="25F7D327" w14:textId="77777777" w:rsidR="00266145" w:rsidRDefault="00640656">
            <w:pPr>
              <w:spacing w:after="216"/>
              <w:ind w:left="0"/>
            </w:pPr>
            <w:r>
              <w:rPr>
                <w:rFonts w:ascii="Arial" w:eastAsia="Arial" w:hAnsi="Arial" w:cs="Arial"/>
              </w:rPr>
              <w:t xml:space="preserve">Classes: 30 hours </w:t>
            </w:r>
          </w:p>
          <w:p w14:paraId="2F6C4E4B" w14:textId="77777777" w:rsidR="00266145" w:rsidRDefault="00640656">
            <w:pPr>
              <w:spacing w:after="220"/>
              <w:ind w:left="0"/>
            </w:pPr>
            <w:r>
              <w:rPr>
                <w:rFonts w:ascii="Arial" w:eastAsia="Arial" w:hAnsi="Arial" w:cs="Arial"/>
              </w:rPr>
              <w:t xml:space="preserve">Student's own work: 30 hours </w:t>
            </w:r>
          </w:p>
          <w:p w14:paraId="690465E4" w14:textId="77777777" w:rsidR="00266145" w:rsidRDefault="00640656">
            <w:pPr>
              <w:numPr>
                <w:ilvl w:val="0"/>
                <w:numId w:val="1"/>
              </w:numPr>
              <w:spacing w:after="215"/>
              <w:ind w:hanging="134"/>
            </w:pPr>
            <w:r>
              <w:rPr>
                <w:rFonts w:ascii="Arial" w:eastAsia="Arial" w:hAnsi="Arial" w:cs="Arial"/>
                <w:i/>
              </w:rPr>
              <w:t xml:space="preserve">preparing  for classes: 15 hours </w:t>
            </w:r>
          </w:p>
          <w:p w14:paraId="68C5C314" w14:textId="77777777" w:rsidR="00266145" w:rsidRDefault="00640656">
            <w:pPr>
              <w:numPr>
                <w:ilvl w:val="0"/>
                <w:numId w:val="1"/>
              </w:numPr>
              <w:spacing w:after="216"/>
              <w:ind w:hanging="134"/>
            </w:pPr>
            <w:r>
              <w:rPr>
                <w:rFonts w:ascii="Arial" w:eastAsia="Arial" w:hAnsi="Arial" w:cs="Arial"/>
                <w:i/>
              </w:rPr>
              <w:t xml:space="preserve">final project preparation: 15 hours </w:t>
            </w:r>
          </w:p>
          <w:p w14:paraId="05D9BBA6" w14:textId="77777777" w:rsidR="00266145" w:rsidRDefault="00640656">
            <w:pPr>
              <w:spacing w:after="0"/>
              <w:ind w:left="0"/>
            </w:pPr>
            <w:r>
              <w:rPr>
                <w:rFonts w:ascii="Arial" w:eastAsia="Arial" w:hAnsi="Arial" w:cs="Arial"/>
              </w:rPr>
              <w:t xml:space="preserve">  </w:t>
            </w:r>
          </w:p>
        </w:tc>
      </w:tr>
      <w:tr w:rsidR="00266145" w14:paraId="12898092" w14:textId="77777777">
        <w:trPr>
          <w:trHeight w:val="884"/>
        </w:trPr>
        <w:tc>
          <w:tcPr>
            <w:tcW w:w="3544" w:type="dxa"/>
            <w:tcBorders>
              <w:top w:val="single" w:sz="8" w:space="0" w:color="000000"/>
              <w:left w:val="single" w:sz="8" w:space="0" w:color="000000"/>
              <w:bottom w:val="single" w:sz="8" w:space="0" w:color="000000"/>
              <w:right w:val="single" w:sz="8" w:space="0" w:color="000000"/>
            </w:tcBorders>
          </w:tcPr>
          <w:p w14:paraId="6644743C" w14:textId="77777777" w:rsidR="00266145" w:rsidRDefault="00640656">
            <w:pPr>
              <w:spacing w:after="0"/>
              <w:ind w:left="0"/>
            </w:pPr>
            <w:r>
              <w:rPr>
                <w:rFonts w:ascii="Arial" w:eastAsia="Arial" w:hAnsi="Arial" w:cs="Arial"/>
              </w:rPr>
              <w:t xml:space="preserve">Applied teaching methods </w:t>
            </w:r>
          </w:p>
        </w:tc>
        <w:tc>
          <w:tcPr>
            <w:tcW w:w="5820" w:type="dxa"/>
            <w:tcBorders>
              <w:top w:val="single" w:sz="8" w:space="0" w:color="000000"/>
              <w:left w:val="single" w:sz="8" w:space="0" w:color="000000"/>
              <w:bottom w:val="single" w:sz="8" w:space="0" w:color="000000"/>
              <w:right w:val="single" w:sz="8" w:space="0" w:color="000000"/>
            </w:tcBorders>
          </w:tcPr>
          <w:p w14:paraId="6B2C035A" w14:textId="77777777" w:rsidR="00266145" w:rsidRDefault="00640656">
            <w:pPr>
              <w:spacing w:after="0"/>
              <w:ind w:left="0"/>
            </w:pPr>
            <w:r>
              <w:rPr>
                <w:rFonts w:ascii="Arial" w:eastAsia="Arial" w:hAnsi="Arial" w:cs="Arial"/>
              </w:rPr>
              <w:t xml:space="preserve">Workshop, discussion, group projects  </w:t>
            </w:r>
          </w:p>
        </w:tc>
      </w:tr>
    </w:tbl>
    <w:p w14:paraId="401611AB" w14:textId="77777777" w:rsidR="00266145" w:rsidRDefault="00266145">
      <w:pPr>
        <w:spacing w:after="0"/>
        <w:ind w:left="-1440" w:right="88"/>
      </w:pPr>
    </w:p>
    <w:tbl>
      <w:tblPr>
        <w:tblStyle w:val="TableGrid"/>
        <w:tblW w:w="9364" w:type="dxa"/>
        <w:tblInd w:w="10" w:type="dxa"/>
        <w:tblCellMar>
          <w:top w:w="112" w:type="dxa"/>
          <w:left w:w="101" w:type="dxa"/>
          <w:right w:w="58" w:type="dxa"/>
        </w:tblCellMar>
        <w:tblLook w:val="04A0" w:firstRow="1" w:lastRow="0" w:firstColumn="1" w:lastColumn="0" w:noHBand="0" w:noVBand="1"/>
      </w:tblPr>
      <w:tblGrid>
        <w:gridCol w:w="3544"/>
        <w:gridCol w:w="5820"/>
      </w:tblGrid>
      <w:tr w:rsidR="00266145" w14:paraId="0B3C3298" w14:textId="77777777">
        <w:trPr>
          <w:trHeight w:val="4108"/>
        </w:trPr>
        <w:tc>
          <w:tcPr>
            <w:tcW w:w="3544" w:type="dxa"/>
            <w:tcBorders>
              <w:top w:val="single" w:sz="6" w:space="0" w:color="000000"/>
              <w:left w:val="single" w:sz="8" w:space="0" w:color="000000"/>
              <w:bottom w:val="single" w:sz="8" w:space="0" w:color="000000"/>
              <w:right w:val="single" w:sz="8" w:space="0" w:color="000000"/>
            </w:tcBorders>
          </w:tcPr>
          <w:p w14:paraId="29B0A28B" w14:textId="77777777" w:rsidR="00266145" w:rsidRDefault="00640656">
            <w:pPr>
              <w:spacing w:after="0"/>
              <w:ind w:left="0" w:right="2"/>
            </w:pPr>
            <w:r>
              <w:rPr>
                <w:rFonts w:ascii="Arial" w:eastAsia="Arial" w:hAnsi="Arial" w:cs="Arial"/>
              </w:rPr>
              <w:t xml:space="preserve">Form and conditions of passing a component, including conditions of allowing to take an examination, as well as form and conditions of passing each type of courses included in a given component </w:t>
            </w:r>
          </w:p>
        </w:tc>
        <w:tc>
          <w:tcPr>
            <w:tcW w:w="5820" w:type="dxa"/>
            <w:tcBorders>
              <w:top w:val="single" w:sz="6" w:space="0" w:color="000000"/>
              <w:left w:val="single" w:sz="8" w:space="0" w:color="000000"/>
              <w:bottom w:val="single" w:sz="8" w:space="0" w:color="000000"/>
              <w:right w:val="single" w:sz="8" w:space="0" w:color="000000"/>
            </w:tcBorders>
          </w:tcPr>
          <w:p w14:paraId="785864AB" w14:textId="77777777" w:rsidR="00266145" w:rsidRDefault="00640656">
            <w:pPr>
              <w:spacing w:after="204" w:line="275" w:lineRule="auto"/>
              <w:ind w:left="0"/>
            </w:pPr>
            <w:r>
              <w:rPr>
                <w:rFonts w:ascii="Arial" w:eastAsia="Arial" w:hAnsi="Arial" w:cs="Arial"/>
              </w:rPr>
              <w:t xml:space="preserve">In order to pass the course students will be obliged to participate in a group project. The aim of the project is preparing and disseminating a short report devoted to evidence-and-experience-based recommendations for mental health prophylaxis and self-care in academia. </w:t>
            </w:r>
          </w:p>
          <w:p w14:paraId="721ADA78" w14:textId="77777777" w:rsidR="00266145" w:rsidRDefault="00640656">
            <w:pPr>
              <w:spacing w:after="0"/>
              <w:ind w:left="0"/>
            </w:pPr>
            <w:r>
              <w:rPr>
                <w:rFonts w:ascii="Arial" w:eastAsia="Arial" w:hAnsi="Arial" w:cs="Arial"/>
              </w:rPr>
              <w:t xml:space="preserve">Attendance includes reading assigned paper(s). Every student is expected to think critically about the reading and contribute to the discussion. Max. one absence without consequences. For every additional, justified absence the student will be obliged to write a short essay (~300 words) connected with the topic covered during the class. </w:t>
            </w:r>
          </w:p>
        </w:tc>
      </w:tr>
      <w:tr w:rsidR="00266145" w14:paraId="3603529A" w14:textId="77777777">
        <w:trPr>
          <w:trHeight w:val="3620"/>
        </w:trPr>
        <w:tc>
          <w:tcPr>
            <w:tcW w:w="3544" w:type="dxa"/>
            <w:tcBorders>
              <w:top w:val="single" w:sz="8" w:space="0" w:color="000000"/>
              <w:left w:val="single" w:sz="8" w:space="0" w:color="000000"/>
              <w:bottom w:val="single" w:sz="8" w:space="0" w:color="000000"/>
              <w:right w:val="single" w:sz="8" w:space="0" w:color="000000"/>
            </w:tcBorders>
          </w:tcPr>
          <w:p w14:paraId="1F6DB495" w14:textId="77777777" w:rsidR="00266145" w:rsidRDefault="00640656">
            <w:pPr>
              <w:spacing w:after="19"/>
              <w:ind w:left="0"/>
              <w:jc w:val="both"/>
            </w:pPr>
            <w:r>
              <w:rPr>
                <w:rFonts w:ascii="Arial" w:eastAsia="Arial" w:hAnsi="Arial" w:cs="Arial"/>
              </w:rPr>
              <w:lastRenderedPageBreak/>
              <w:t xml:space="preserve">Content of an educational module </w:t>
            </w:r>
          </w:p>
          <w:p w14:paraId="4EB576EB" w14:textId="77777777" w:rsidR="00266145" w:rsidRDefault="00640656">
            <w:pPr>
              <w:spacing w:after="0"/>
              <w:ind w:left="0" w:right="15"/>
            </w:pPr>
            <w:r>
              <w:rPr>
                <w:rFonts w:ascii="Arial" w:eastAsia="Arial" w:hAnsi="Arial" w:cs="Arial"/>
              </w:rPr>
              <w:t xml:space="preserve">(with division into forms of courses completion) </w:t>
            </w:r>
          </w:p>
        </w:tc>
        <w:tc>
          <w:tcPr>
            <w:tcW w:w="5820" w:type="dxa"/>
            <w:tcBorders>
              <w:top w:val="single" w:sz="8" w:space="0" w:color="000000"/>
              <w:left w:val="single" w:sz="8" w:space="0" w:color="000000"/>
              <w:bottom w:val="single" w:sz="8" w:space="0" w:color="000000"/>
              <w:right w:val="single" w:sz="8" w:space="0" w:color="000000"/>
            </w:tcBorders>
          </w:tcPr>
          <w:p w14:paraId="229FF774" w14:textId="77777777" w:rsidR="00266145" w:rsidRDefault="00640656">
            <w:pPr>
              <w:numPr>
                <w:ilvl w:val="0"/>
                <w:numId w:val="2"/>
              </w:numPr>
              <w:spacing w:after="0" w:line="277" w:lineRule="auto"/>
              <w:ind w:hanging="360"/>
            </w:pPr>
            <w:r>
              <w:rPr>
                <w:rFonts w:ascii="Arial" w:eastAsia="Arial" w:hAnsi="Arial" w:cs="Arial"/>
              </w:rPr>
              <w:t xml:space="preserve">Symptoms of burnout, anxiety and depression, imposter syndrome, perfectionism as expressions of academic settings </w:t>
            </w:r>
          </w:p>
          <w:p w14:paraId="6DE4EE10" w14:textId="77777777" w:rsidR="00266145" w:rsidRDefault="00640656">
            <w:pPr>
              <w:numPr>
                <w:ilvl w:val="0"/>
                <w:numId w:val="2"/>
              </w:numPr>
              <w:spacing w:after="0" w:line="278" w:lineRule="auto"/>
              <w:ind w:hanging="360"/>
            </w:pPr>
            <w:r>
              <w:rPr>
                <w:rFonts w:ascii="Arial" w:eastAsia="Arial" w:hAnsi="Arial" w:cs="Arial"/>
              </w:rPr>
              <w:t xml:space="preserve">Individual and systemic sources of healthy coping strategies </w:t>
            </w:r>
          </w:p>
          <w:p w14:paraId="028DBC40" w14:textId="77777777" w:rsidR="00266145" w:rsidRDefault="00640656">
            <w:pPr>
              <w:numPr>
                <w:ilvl w:val="0"/>
                <w:numId w:val="2"/>
              </w:numPr>
              <w:spacing w:after="20"/>
              <w:ind w:hanging="360"/>
            </w:pPr>
            <w:r>
              <w:rPr>
                <w:rFonts w:ascii="Arial" w:eastAsia="Arial" w:hAnsi="Arial" w:cs="Arial"/>
              </w:rPr>
              <w:t xml:space="preserve">PhD studies from the developmental perspective </w:t>
            </w:r>
          </w:p>
          <w:p w14:paraId="127B8E0A" w14:textId="77777777" w:rsidR="00266145" w:rsidRDefault="00640656">
            <w:pPr>
              <w:numPr>
                <w:ilvl w:val="0"/>
                <w:numId w:val="2"/>
              </w:numPr>
              <w:spacing w:after="33" w:line="277" w:lineRule="auto"/>
              <w:ind w:hanging="360"/>
            </w:pPr>
            <w:r>
              <w:rPr>
                <w:rFonts w:ascii="Arial" w:eastAsia="Arial" w:hAnsi="Arial" w:cs="Arial"/>
              </w:rPr>
              <w:t xml:space="preserve">Prevention of discrimination and sexual </w:t>
            </w:r>
            <w:proofErr w:type="spellStart"/>
            <w:r>
              <w:rPr>
                <w:rFonts w:ascii="Arial" w:eastAsia="Arial" w:hAnsi="Arial" w:cs="Arial"/>
              </w:rPr>
              <w:t>harrasment</w:t>
            </w:r>
            <w:proofErr w:type="spellEnd"/>
            <w:r>
              <w:rPr>
                <w:rFonts w:ascii="Arial" w:eastAsia="Arial" w:hAnsi="Arial" w:cs="Arial"/>
              </w:rPr>
              <w:t xml:space="preserve"> in academia </w:t>
            </w:r>
          </w:p>
          <w:p w14:paraId="2904BE3F" w14:textId="77777777" w:rsidR="00266145" w:rsidRDefault="00640656">
            <w:pPr>
              <w:numPr>
                <w:ilvl w:val="0"/>
                <w:numId w:val="2"/>
              </w:numPr>
              <w:spacing w:after="0"/>
              <w:ind w:hanging="360"/>
            </w:pPr>
            <w:r>
              <w:rPr>
                <w:rFonts w:ascii="Arial" w:eastAsia="Arial" w:hAnsi="Arial" w:cs="Arial"/>
              </w:rPr>
              <w:t xml:space="preserve">Studies, researchers’ testimony and individual experience as a base for mental health self-care and prophylaxis in academia </w:t>
            </w:r>
          </w:p>
        </w:tc>
      </w:tr>
      <w:tr w:rsidR="00266145" w14:paraId="5FA3FF13" w14:textId="77777777">
        <w:trPr>
          <w:trHeight w:val="7147"/>
        </w:trPr>
        <w:tc>
          <w:tcPr>
            <w:tcW w:w="3544" w:type="dxa"/>
            <w:tcBorders>
              <w:top w:val="single" w:sz="6" w:space="0" w:color="000000"/>
              <w:left w:val="single" w:sz="8" w:space="0" w:color="000000"/>
              <w:bottom w:val="single" w:sz="8" w:space="0" w:color="000000"/>
              <w:right w:val="single" w:sz="8" w:space="0" w:color="000000"/>
            </w:tcBorders>
          </w:tcPr>
          <w:p w14:paraId="38849E03" w14:textId="77777777" w:rsidR="00266145" w:rsidRDefault="00640656">
            <w:pPr>
              <w:spacing w:after="0"/>
              <w:ind w:left="0" w:right="27"/>
            </w:pPr>
            <w:r>
              <w:rPr>
                <w:rFonts w:ascii="Arial" w:eastAsia="Arial" w:hAnsi="Arial" w:cs="Arial"/>
                <w:color w:val="222222"/>
                <w:sz w:val="20"/>
              </w:rPr>
              <w:t xml:space="preserve">List of basic as well as supplementary literature, knowledge of which is required in order to pass a given component  </w:t>
            </w:r>
          </w:p>
        </w:tc>
        <w:tc>
          <w:tcPr>
            <w:tcW w:w="5820" w:type="dxa"/>
            <w:tcBorders>
              <w:top w:val="single" w:sz="6" w:space="0" w:color="000000"/>
              <w:left w:val="single" w:sz="8" w:space="0" w:color="000000"/>
              <w:bottom w:val="single" w:sz="8" w:space="0" w:color="000000"/>
              <w:right w:val="single" w:sz="8" w:space="0" w:color="000000"/>
            </w:tcBorders>
          </w:tcPr>
          <w:p w14:paraId="52AE982E" w14:textId="77777777" w:rsidR="00266145" w:rsidRDefault="00640656">
            <w:pPr>
              <w:spacing w:after="198" w:line="277" w:lineRule="auto"/>
              <w:ind w:left="0"/>
              <w:jc w:val="both"/>
            </w:pPr>
            <w:r>
              <w:rPr>
                <w:rFonts w:ascii="Arial" w:eastAsia="Arial" w:hAnsi="Arial" w:cs="Arial"/>
              </w:rPr>
              <w:t xml:space="preserve">Else, H. (2017). Academics face higher mental health risk than other professions. </w:t>
            </w:r>
            <w:r>
              <w:rPr>
                <w:rFonts w:ascii="Arial" w:eastAsia="Arial" w:hAnsi="Arial" w:cs="Arial"/>
                <w:i/>
              </w:rPr>
              <w:t xml:space="preserve">Times Higher Education. </w:t>
            </w:r>
          </w:p>
          <w:p w14:paraId="0F10F44E" w14:textId="77777777" w:rsidR="00266145" w:rsidRDefault="00640656">
            <w:pPr>
              <w:spacing w:after="199" w:line="275" w:lineRule="auto"/>
              <w:ind w:left="0" w:right="2"/>
            </w:pPr>
            <w:r>
              <w:rPr>
                <w:rFonts w:ascii="Arial" w:eastAsia="Arial" w:hAnsi="Arial" w:cs="Arial"/>
              </w:rPr>
              <w:t xml:space="preserve">Fowler, S. (2015). Burnout and depression in academia: A look at the discourse of the university. </w:t>
            </w:r>
            <w:r>
              <w:rPr>
                <w:rFonts w:ascii="Arial" w:eastAsia="Arial" w:hAnsi="Arial" w:cs="Arial"/>
                <w:i/>
              </w:rPr>
              <w:t>Empedocles: European Journal for the Philosophy of Communication, 6</w:t>
            </w:r>
            <w:r>
              <w:rPr>
                <w:rFonts w:ascii="Arial" w:eastAsia="Arial" w:hAnsi="Arial" w:cs="Arial"/>
              </w:rPr>
              <w:t xml:space="preserve">(2), 155-167. </w:t>
            </w:r>
          </w:p>
          <w:p w14:paraId="187914C7" w14:textId="77777777" w:rsidR="00266145" w:rsidRDefault="00640656">
            <w:pPr>
              <w:spacing w:after="0" w:line="277" w:lineRule="auto"/>
              <w:ind w:left="0"/>
              <w:jc w:val="both"/>
            </w:pPr>
            <w:proofErr w:type="spellStart"/>
            <w:r>
              <w:rPr>
                <w:rFonts w:ascii="Arial" w:eastAsia="Arial" w:hAnsi="Arial" w:cs="Arial"/>
              </w:rPr>
              <w:t>Jaremka</w:t>
            </w:r>
            <w:proofErr w:type="spellEnd"/>
            <w:r>
              <w:rPr>
                <w:rFonts w:ascii="Arial" w:eastAsia="Arial" w:hAnsi="Arial" w:cs="Arial"/>
              </w:rPr>
              <w:t xml:space="preserve">, L. M., Ackerman, J. M., Gawronski, B., Rule, N. O., Sweeny, K., </w:t>
            </w:r>
            <w:proofErr w:type="spellStart"/>
            <w:r>
              <w:rPr>
                <w:rFonts w:ascii="Arial" w:eastAsia="Arial" w:hAnsi="Arial" w:cs="Arial"/>
              </w:rPr>
              <w:t>Tropp</w:t>
            </w:r>
            <w:proofErr w:type="spellEnd"/>
            <w:r>
              <w:rPr>
                <w:rFonts w:ascii="Arial" w:eastAsia="Arial" w:hAnsi="Arial" w:cs="Arial"/>
              </w:rPr>
              <w:t xml:space="preserve">, L. R., ... &amp; Vick, S. B. (2020). </w:t>
            </w:r>
          </w:p>
          <w:p w14:paraId="781ED1DC" w14:textId="77777777" w:rsidR="00266145" w:rsidRDefault="00640656">
            <w:pPr>
              <w:spacing w:after="19"/>
              <w:ind w:left="0"/>
            </w:pPr>
            <w:r>
              <w:rPr>
                <w:rFonts w:ascii="Arial" w:eastAsia="Arial" w:hAnsi="Arial" w:cs="Arial"/>
              </w:rPr>
              <w:t xml:space="preserve">Common Academic Experiences No One Talks About: </w:t>
            </w:r>
          </w:p>
          <w:p w14:paraId="5165CE45" w14:textId="77777777" w:rsidR="00266145" w:rsidRDefault="00640656">
            <w:pPr>
              <w:spacing w:after="14"/>
              <w:ind w:left="0"/>
            </w:pPr>
            <w:r>
              <w:rPr>
                <w:rFonts w:ascii="Arial" w:eastAsia="Arial" w:hAnsi="Arial" w:cs="Arial"/>
              </w:rPr>
              <w:t xml:space="preserve">Repeated Rejection, Impostor Syndrome, and Burnout. </w:t>
            </w:r>
          </w:p>
          <w:p w14:paraId="49A715E4" w14:textId="77777777" w:rsidR="00266145" w:rsidRDefault="00640656">
            <w:pPr>
              <w:spacing w:after="221"/>
              <w:ind w:left="0"/>
            </w:pPr>
            <w:r>
              <w:rPr>
                <w:rFonts w:ascii="Arial" w:eastAsia="Arial" w:hAnsi="Arial" w:cs="Arial"/>
                <w:i/>
              </w:rPr>
              <w:t>Perspectives on Psychological Science, 15</w:t>
            </w:r>
            <w:r>
              <w:rPr>
                <w:rFonts w:ascii="Arial" w:eastAsia="Arial" w:hAnsi="Arial" w:cs="Arial"/>
              </w:rPr>
              <w:t xml:space="preserve">(3), 519-543. </w:t>
            </w:r>
          </w:p>
          <w:p w14:paraId="29FFAA17" w14:textId="77777777" w:rsidR="00266145" w:rsidRDefault="00640656">
            <w:pPr>
              <w:spacing w:after="207" w:line="272" w:lineRule="auto"/>
              <w:ind w:left="0"/>
            </w:pPr>
            <w:proofErr w:type="spellStart"/>
            <w:r>
              <w:rPr>
                <w:rFonts w:ascii="Arial" w:eastAsia="Arial" w:hAnsi="Arial" w:cs="Arial"/>
              </w:rPr>
              <w:t>Nagoski</w:t>
            </w:r>
            <w:proofErr w:type="spellEnd"/>
            <w:r>
              <w:rPr>
                <w:rFonts w:ascii="Arial" w:eastAsia="Arial" w:hAnsi="Arial" w:cs="Arial"/>
              </w:rPr>
              <w:t xml:space="preserve">, E., &amp; </w:t>
            </w:r>
            <w:proofErr w:type="spellStart"/>
            <w:r>
              <w:rPr>
                <w:rFonts w:ascii="Arial" w:eastAsia="Arial" w:hAnsi="Arial" w:cs="Arial"/>
              </w:rPr>
              <w:t>Nagoski</w:t>
            </w:r>
            <w:proofErr w:type="spellEnd"/>
            <w:r>
              <w:rPr>
                <w:rFonts w:ascii="Arial" w:eastAsia="Arial" w:hAnsi="Arial" w:cs="Arial"/>
              </w:rPr>
              <w:t xml:space="preserve">, A. (2020). </w:t>
            </w:r>
            <w:r>
              <w:rPr>
                <w:rFonts w:ascii="Arial" w:eastAsia="Arial" w:hAnsi="Arial" w:cs="Arial"/>
                <w:i/>
              </w:rPr>
              <w:t>Burnout: The secret to unlocking the stress cycle.</w:t>
            </w:r>
            <w:r>
              <w:rPr>
                <w:rFonts w:ascii="Arial" w:eastAsia="Arial" w:hAnsi="Arial" w:cs="Arial"/>
              </w:rPr>
              <w:t xml:space="preserve"> Ballantine Books. </w:t>
            </w:r>
          </w:p>
          <w:p w14:paraId="502CFB29" w14:textId="77777777" w:rsidR="00266145" w:rsidRDefault="00640656">
            <w:pPr>
              <w:spacing w:after="200" w:line="275" w:lineRule="auto"/>
              <w:ind w:left="0"/>
              <w:jc w:val="both"/>
            </w:pPr>
            <w:r>
              <w:rPr>
                <w:rFonts w:ascii="Arial" w:eastAsia="Arial" w:hAnsi="Arial" w:cs="Arial"/>
              </w:rPr>
              <w:t xml:space="preserve">Powell, K. (2017). Work–life balance: Break or burn out. </w:t>
            </w:r>
            <w:r>
              <w:rPr>
                <w:rFonts w:ascii="Arial" w:eastAsia="Arial" w:hAnsi="Arial" w:cs="Arial"/>
                <w:i/>
              </w:rPr>
              <w:t>Nature 545</w:t>
            </w:r>
            <w:r>
              <w:rPr>
                <w:rFonts w:ascii="Arial" w:eastAsia="Arial" w:hAnsi="Arial" w:cs="Arial"/>
              </w:rPr>
              <w:t xml:space="preserve">, 375–377. </w:t>
            </w:r>
          </w:p>
          <w:p w14:paraId="68AC46AF" w14:textId="77777777" w:rsidR="00266145" w:rsidRDefault="00640656">
            <w:pPr>
              <w:spacing w:after="197" w:line="277" w:lineRule="auto"/>
              <w:ind w:left="0"/>
              <w:jc w:val="both"/>
            </w:pPr>
            <w:r>
              <w:rPr>
                <w:rFonts w:ascii="Arial" w:eastAsia="Arial" w:hAnsi="Arial" w:cs="Arial"/>
              </w:rPr>
              <w:t>Kim, Y. J., &amp; Faber, E. (2019). What medicine can teach academia about preventing burnout.</w:t>
            </w:r>
            <w:r>
              <w:rPr>
                <w:rFonts w:ascii="Arial" w:eastAsia="Arial" w:hAnsi="Arial" w:cs="Arial"/>
                <w:i/>
              </w:rPr>
              <w:t xml:space="preserve"> Nature</w:t>
            </w:r>
            <w:r>
              <w:rPr>
                <w:rFonts w:ascii="Arial" w:eastAsia="Arial" w:hAnsi="Arial" w:cs="Arial"/>
              </w:rPr>
              <w:t xml:space="preserve">. </w:t>
            </w:r>
          </w:p>
          <w:p w14:paraId="34208BE7" w14:textId="77777777" w:rsidR="00266145" w:rsidRDefault="00640656">
            <w:pPr>
              <w:spacing w:after="0"/>
              <w:ind w:left="0"/>
              <w:jc w:val="both"/>
            </w:pPr>
            <w:r>
              <w:rPr>
                <w:rFonts w:ascii="Arial" w:eastAsia="Arial" w:hAnsi="Arial" w:cs="Arial"/>
              </w:rPr>
              <w:t xml:space="preserve">Samardzic, K. (2019). What I wish my friends and family knew about my PhD. </w:t>
            </w:r>
            <w:r>
              <w:rPr>
                <w:rFonts w:ascii="Arial" w:eastAsia="Arial" w:hAnsi="Arial" w:cs="Arial"/>
                <w:i/>
              </w:rPr>
              <w:t xml:space="preserve">Nature. </w:t>
            </w:r>
          </w:p>
        </w:tc>
      </w:tr>
    </w:tbl>
    <w:p w14:paraId="317D53CB" w14:textId="77777777" w:rsidR="00266145" w:rsidRDefault="00640656">
      <w:pPr>
        <w:spacing w:after="215"/>
        <w:ind w:left="0"/>
        <w:jc w:val="both"/>
      </w:pPr>
      <w:r>
        <w:rPr>
          <w:rFonts w:ascii="Arial" w:eastAsia="Arial" w:hAnsi="Arial" w:cs="Arial"/>
        </w:rPr>
        <w:t xml:space="preserve">  </w:t>
      </w:r>
    </w:p>
    <w:p w14:paraId="30046F0F" w14:textId="77777777" w:rsidR="00266145" w:rsidRDefault="00640656">
      <w:pPr>
        <w:spacing w:after="0"/>
        <w:ind w:left="0"/>
      </w:pPr>
      <w:r>
        <w:rPr>
          <w:rFonts w:ascii="Arial" w:eastAsia="Arial" w:hAnsi="Arial" w:cs="Arial"/>
        </w:rPr>
        <w:lastRenderedPageBreak/>
        <w:t xml:space="preserve"> </w:t>
      </w:r>
    </w:p>
    <w:sectPr w:rsidR="00266145">
      <w:pgSz w:w="12240" w:h="15840"/>
      <w:pgMar w:top="1448" w:right="1338" w:bottom="26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A6FE4"/>
    <w:multiLevelType w:val="hybridMultilevel"/>
    <w:tmpl w:val="8D2A00C6"/>
    <w:lvl w:ilvl="0" w:tplc="F5DEDD3C">
      <w:start w:val="1"/>
      <w:numFmt w:val="bullet"/>
      <w:lvlText w:val="-"/>
      <w:lvlJc w:val="left"/>
      <w:pPr>
        <w:ind w:left="13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DC3A5DAA">
      <w:start w:val="1"/>
      <w:numFmt w:val="bullet"/>
      <w:lvlText w:val="o"/>
      <w:lvlJc w:val="left"/>
      <w:pPr>
        <w:ind w:left="11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AAF03D5A">
      <w:start w:val="1"/>
      <w:numFmt w:val="bullet"/>
      <w:lvlText w:val="▪"/>
      <w:lvlJc w:val="left"/>
      <w:pPr>
        <w:ind w:left="19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6BC3C6E">
      <w:start w:val="1"/>
      <w:numFmt w:val="bullet"/>
      <w:lvlText w:val="•"/>
      <w:lvlJc w:val="left"/>
      <w:pPr>
        <w:ind w:left="26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210712E">
      <w:start w:val="1"/>
      <w:numFmt w:val="bullet"/>
      <w:lvlText w:val="o"/>
      <w:lvlJc w:val="left"/>
      <w:pPr>
        <w:ind w:left="334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675C8E42">
      <w:start w:val="1"/>
      <w:numFmt w:val="bullet"/>
      <w:lvlText w:val="▪"/>
      <w:lvlJc w:val="left"/>
      <w:pPr>
        <w:ind w:left="406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DB446DC2">
      <w:start w:val="1"/>
      <w:numFmt w:val="bullet"/>
      <w:lvlText w:val="•"/>
      <w:lvlJc w:val="left"/>
      <w:pPr>
        <w:ind w:left="478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A169A28">
      <w:start w:val="1"/>
      <w:numFmt w:val="bullet"/>
      <w:lvlText w:val="o"/>
      <w:lvlJc w:val="left"/>
      <w:pPr>
        <w:ind w:left="550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716C14A">
      <w:start w:val="1"/>
      <w:numFmt w:val="bullet"/>
      <w:lvlText w:val="▪"/>
      <w:lvlJc w:val="left"/>
      <w:pPr>
        <w:ind w:left="622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76310F"/>
    <w:multiLevelType w:val="hybridMultilevel"/>
    <w:tmpl w:val="7B700152"/>
    <w:lvl w:ilvl="0" w:tplc="1824A4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82C20E">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1EB9BA">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944D2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120078">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BC68C4">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BED61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EE321E">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ECB540">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145"/>
    <w:rsid w:val="00266145"/>
    <w:rsid w:val="00593FAC"/>
    <w:rsid w:val="00640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3309"/>
  <w15:docId w15:val="{872875DD-BDA4-4EC1-9BF4-21582238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
      <w:ind w:left="1863"/>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771</Words>
  <Characters>4628</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user</dc:creator>
  <cp:keywords/>
  <cp:lastModifiedBy>Danuta Wisła</cp:lastModifiedBy>
  <cp:revision>2</cp:revision>
  <dcterms:created xsi:type="dcterms:W3CDTF">2021-10-02T13:55:00Z</dcterms:created>
  <dcterms:modified xsi:type="dcterms:W3CDTF">2021-10-02T13:55:00Z</dcterms:modified>
</cp:coreProperties>
</file>