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E60D" w14:textId="4D178A08" w:rsidR="00D0653F" w:rsidRPr="006C2792" w:rsidRDefault="00D0653F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14:paraId="68C46174" w14:textId="77777777" w:rsidR="00D0653F" w:rsidRPr="006C2792" w:rsidRDefault="00B170BC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p w14:paraId="50DB8C16" w14:textId="77777777" w:rsidR="00D0653F" w:rsidRPr="006C2792" w:rsidRDefault="00B170BC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p w14:paraId="119A05E1" w14:textId="77777777" w:rsidR="00D0653F" w:rsidRPr="006C2792" w:rsidRDefault="00B170BC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p w14:paraId="5CE05311" w14:textId="77777777" w:rsidR="00D0653F" w:rsidRPr="006C2792" w:rsidRDefault="00B170BC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p w14:paraId="24DF9436" w14:textId="77777777" w:rsidR="00D0653F" w:rsidRPr="006C2792" w:rsidRDefault="00B170BC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p w14:paraId="304597B6" w14:textId="77777777" w:rsidR="00D0653F" w:rsidRPr="006C2792" w:rsidRDefault="00B170BC">
      <w:pPr>
        <w:spacing w:after="36" w:line="259" w:lineRule="auto"/>
        <w:ind w:right="46"/>
        <w:jc w:val="right"/>
        <w:rPr>
          <w:sz w:val="26"/>
          <w:szCs w:val="26"/>
        </w:rPr>
      </w:pPr>
      <w:r w:rsidRPr="006C2792">
        <w:rPr>
          <w:sz w:val="26"/>
          <w:szCs w:val="26"/>
        </w:rPr>
        <w:t xml:space="preserve">Załącznik nr 4 do zarządzenia nr 118 Rektora UJ z 19 grudnia 2016 r. </w:t>
      </w:r>
    </w:p>
    <w:p w14:paraId="78D9EE84" w14:textId="77777777" w:rsidR="00D0653F" w:rsidRPr="006C2792" w:rsidRDefault="00B170BC">
      <w:pPr>
        <w:spacing w:after="0" w:line="259" w:lineRule="auto"/>
        <w:ind w:left="0" w:firstLine="0"/>
        <w:jc w:val="righ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p w14:paraId="5BA03024" w14:textId="77777777" w:rsidR="00D0653F" w:rsidRPr="006C2792" w:rsidRDefault="00B170BC">
      <w:pPr>
        <w:spacing w:after="26" w:line="259" w:lineRule="auto"/>
        <w:ind w:left="4537" w:firstLine="0"/>
        <w:jc w:val="left"/>
        <w:rPr>
          <w:sz w:val="26"/>
          <w:szCs w:val="26"/>
        </w:rPr>
      </w:pPr>
      <w:r w:rsidRPr="006C2792">
        <w:rPr>
          <w:b/>
          <w:sz w:val="26"/>
          <w:szCs w:val="26"/>
        </w:rPr>
        <w:t xml:space="preserve"> </w:t>
      </w:r>
    </w:p>
    <w:p w14:paraId="2B63CE63" w14:textId="77777777" w:rsidR="00D0653F" w:rsidRPr="006C2792" w:rsidRDefault="00B170BC">
      <w:pPr>
        <w:pStyle w:val="Nagwek1"/>
        <w:ind w:left="2302" w:right="0"/>
        <w:rPr>
          <w:sz w:val="26"/>
          <w:szCs w:val="26"/>
        </w:rPr>
      </w:pPr>
      <w:r w:rsidRPr="006C2792">
        <w:rPr>
          <w:sz w:val="26"/>
          <w:szCs w:val="26"/>
        </w:rPr>
        <w:t xml:space="preserve">Sylabus modułu zajęć na studiach wyższych </w:t>
      </w:r>
    </w:p>
    <w:p w14:paraId="2EF188BA" w14:textId="77777777" w:rsidR="00D0653F" w:rsidRPr="006C2792" w:rsidRDefault="00B170BC">
      <w:pPr>
        <w:spacing w:after="0" w:line="259" w:lineRule="auto"/>
        <w:ind w:left="0" w:firstLine="0"/>
        <w:jc w:val="righ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17"/>
        <w:gridCol w:w="5773"/>
      </w:tblGrid>
      <w:tr w:rsidR="00D0653F" w:rsidRPr="006C2792" w14:paraId="62D80088" w14:textId="77777777">
        <w:trPr>
          <w:trHeight w:val="52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1C78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Nazwa Wydziału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D35B" w14:textId="32BC94E4" w:rsidR="00D0653F" w:rsidRPr="006C2792" w:rsidRDefault="00327A1E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Szkoła Doktorska Nauk Społecznych </w:t>
            </w:r>
          </w:p>
        </w:tc>
      </w:tr>
      <w:tr w:rsidR="00D0653F" w:rsidRPr="006C2792" w14:paraId="28C0BBD2" w14:textId="77777777">
        <w:trPr>
          <w:trHeight w:val="84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5446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Nazwa jednostki prowadzącej moduł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C65C" w14:textId="78C4C387" w:rsidR="00D0653F" w:rsidRPr="006C2792" w:rsidRDefault="00797C8F" w:rsidP="00797C8F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Instytut Nauk Politycznych i Stosunków Międzynarodowych, Katedra Współczesnych Doktryn Politycznych</w:t>
            </w:r>
            <w:r w:rsidR="00B170BC" w:rsidRPr="006C2792">
              <w:rPr>
                <w:sz w:val="26"/>
                <w:szCs w:val="26"/>
              </w:rPr>
              <w:t xml:space="preserve"> </w:t>
            </w:r>
          </w:p>
        </w:tc>
      </w:tr>
      <w:tr w:rsidR="00D0653F" w:rsidRPr="006C2792" w14:paraId="313DC6F9" w14:textId="77777777">
        <w:trPr>
          <w:trHeight w:val="84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3FA2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Nazwa modułu 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2245" w14:textId="430A5BD9" w:rsidR="006C2792" w:rsidRPr="006C2792" w:rsidRDefault="00A6110D" w:rsidP="006C2792">
            <w:pPr>
              <w:pStyle w:val="HTML-wstpniesformatowany"/>
              <w:rPr>
                <w:rFonts w:ascii="Times New Roman" w:hAnsi="Times New Roman" w:cs="Times New Roman"/>
                <w:sz w:val="26"/>
                <w:szCs w:val="26"/>
              </w:rPr>
            </w:pPr>
            <w:r w:rsidRPr="006C2792">
              <w:rPr>
                <w:rFonts w:ascii="Times New Roman" w:hAnsi="Times New Roman" w:cs="Times New Roman"/>
                <w:sz w:val="26"/>
                <w:szCs w:val="26"/>
              </w:rPr>
              <w:t>Lektury naukowe</w:t>
            </w:r>
            <w:r w:rsidR="006C2792" w:rsidRPr="006C27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2792">
              <w:rPr>
                <w:rFonts w:ascii="Times New Roman" w:hAnsi="Times New Roman" w:cs="Times New Roman"/>
                <w:sz w:val="26"/>
                <w:szCs w:val="26"/>
              </w:rPr>
              <w:t>(S</w:t>
            </w:r>
            <w:proofErr w:type="spellStart"/>
            <w:r w:rsidR="006C2792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cientific</w:t>
            </w:r>
            <w:proofErr w:type="spellEnd"/>
            <w:r w:rsidR="006C2792">
              <w:rPr>
                <w:rFonts w:ascii="Times New Roman" w:hAnsi="Times New Roman" w:cs="Times New Roman"/>
                <w:sz w:val="26"/>
                <w:szCs w:val="26"/>
                <w:lang w:val="en"/>
              </w:rPr>
              <w:t xml:space="preserve"> R</w:t>
            </w:r>
            <w:r w:rsidR="006C2792" w:rsidRPr="006C2792">
              <w:rPr>
                <w:rFonts w:ascii="Times New Roman" w:hAnsi="Times New Roman" w:cs="Times New Roman"/>
                <w:sz w:val="26"/>
                <w:szCs w:val="26"/>
                <w:lang w:val="en"/>
              </w:rPr>
              <w:t>eading</w:t>
            </w:r>
            <w:r w:rsidR="006C2792">
              <w:rPr>
                <w:rFonts w:ascii="Times New Roman" w:hAnsi="Times New Roman" w:cs="Times New Roman"/>
                <w:sz w:val="26"/>
                <w:szCs w:val="26"/>
                <w:lang w:val="en"/>
              </w:rPr>
              <w:t>)</w:t>
            </w:r>
          </w:p>
          <w:p w14:paraId="5C7FE33F" w14:textId="244570CD" w:rsidR="00D0653F" w:rsidRPr="006C2792" w:rsidRDefault="00D0653F" w:rsidP="00A6110D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D0653F" w:rsidRPr="006C2792" w14:paraId="56E7426D" w14:textId="77777777">
        <w:trPr>
          <w:trHeight w:val="84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0531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Klasyfikacja ISCED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EE42" w14:textId="40CAFE6B" w:rsidR="00D0653F" w:rsidRPr="006C2792" w:rsidRDefault="00A50F2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O3 </w:t>
            </w:r>
            <w:r w:rsidR="00F11DC5" w:rsidRPr="006C2792">
              <w:rPr>
                <w:sz w:val="26"/>
                <w:szCs w:val="26"/>
              </w:rPr>
              <w:t>n</w:t>
            </w:r>
            <w:r w:rsidRPr="006C2792">
              <w:rPr>
                <w:sz w:val="26"/>
                <w:szCs w:val="26"/>
              </w:rPr>
              <w:t>auki społeczne</w:t>
            </w:r>
          </w:p>
        </w:tc>
      </w:tr>
      <w:tr w:rsidR="00D0653F" w:rsidRPr="006C2792" w14:paraId="2D909E39" w14:textId="77777777">
        <w:trPr>
          <w:trHeight w:val="52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3162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Język kształcenia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31A8" w14:textId="4FA590F1" w:rsidR="00D0653F" w:rsidRPr="006C2792" w:rsidRDefault="00A50F20" w:rsidP="00A50F2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polski</w:t>
            </w:r>
          </w:p>
        </w:tc>
      </w:tr>
      <w:tr w:rsidR="00D0653F" w:rsidRPr="006C2792" w14:paraId="5718F6B7" w14:textId="77777777">
        <w:trPr>
          <w:trHeight w:val="83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CBC8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Cele kształcenia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8848" w14:textId="4FFF28B3" w:rsidR="00D0653F" w:rsidRPr="006C2792" w:rsidRDefault="00FB2726" w:rsidP="00611737">
            <w:pPr>
              <w:spacing w:after="0" w:line="259" w:lineRule="auto"/>
              <w:ind w:left="0" w:right="62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Głównym celem kształcenia jest systematyczna praca nad </w:t>
            </w:r>
            <w:r w:rsidR="00034D91" w:rsidRPr="006C2792">
              <w:rPr>
                <w:sz w:val="26"/>
                <w:szCs w:val="26"/>
              </w:rPr>
              <w:t xml:space="preserve">przygotowaniem rozprawy doktorskiej. </w:t>
            </w:r>
            <w:r w:rsidR="00A50F20" w:rsidRPr="006C2792">
              <w:rPr>
                <w:sz w:val="26"/>
                <w:szCs w:val="26"/>
              </w:rPr>
              <w:t xml:space="preserve">Doktorant po zakończonym procesie kształcenia będzie miał wnikliwie opracowanych </w:t>
            </w:r>
            <w:r w:rsidRPr="006C2792">
              <w:rPr>
                <w:sz w:val="26"/>
                <w:szCs w:val="26"/>
              </w:rPr>
              <w:t xml:space="preserve">co najmniej </w:t>
            </w:r>
            <w:r w:rsidR="00A50F20" w:rsidRPr="006C2792">
              <w:rPr>
                <w:sz w:val="26"/>
                <w:szCs w:val="26"/>
              </w:rPr>
              <w:t>piętnaście źródeł do swojej rozprawy doktorskiej. Nie tylko zgromadzi literaturę do swojego doktoratu, ale także ją przeanalizuje, prze</w:t>
            </w:r>
            <w:r w:rsidR="004D6340" w:rsidRPr="006C2792">
              <w:rPr>
                <w:sz w:val="26"/>
                <w:szCs w:val="26"/>
              </w:rPr>
              <w:t>myśli i ustosunkuje się do niej.</w:t>
            </w:r>
            <w:r w:rsidR="00611737" w:rsidRPr="006C2792">
              <w:rPr>
                <w:sz w:val="26"/>
                <w:szCs w:val="26"/>
              </w:rPr>
              <w:t xml:space="preserve"> Ponadto przedyskutuje swojego naukowe lektury z innymi doktorantami oraz z koordynatorką. Dzięki temu przygotuje rzetelną bazę bibliograficzną do swojego doktoratu. </w:t>
            </w:r>
          </w:p>
        </w:tc>
      </w:tr>
      <w:tr w:rsidR="00D0653F" w:rsidRPr="006C2792" w14:paraId="5C8EA5F5" w14:textId="77777777">
        <w:trPr>
          <w:trHeight w:val="277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AC09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Efekty kształcenia dla modułu 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A5A9" w14:textId="769739A8" w:rsidR="004D6340" w:rsidRPr="006C2792" w:rsidRDefault="004D6340">
            <w:pPr>
              <w:spacing w:after="0" w:line="258" w:lineRule="auto"/>
              <w:ind w:left="0" w:right="60" w:firstLine="0"/>
              <w:rPr>
                <w:b/>
                <w:sz w:val="26"/>
                <w:szCs w:val="26"/>
              </w:rPr>
            </w:pPr>
            <w:r w:rsidRPr="006C2792">
              <w:rPr>
                <w:b/>
                <w:sz w:val="26"/>
                <w:szCs w:val="26"/>
              </w:rPr>
              <w:t>Wiedza</w:t>
            </w:r>
          </w:p>
          <w:p w14:paraId="03E5E584" w14:textId="542A8043" w:rsidR="000D2919" w:rsidRPr="006C2792" w:rsidRDefault="000D2919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Doktorant </w:t>
            </w:r>
            <w:r w:rsidR="004D6340" w:rsidRPr="006C2792">
              <w:rPr>
                <w:sz w:val="26"/>
                <w:szCs w:val="26"/>
              </w:rPr>
              <w:t>będzie miał wiedzę na temat stanu badań, dotyczącego jego doktoratu.</w:t>
            </w:r>
          </w:p>
          <w:p w14:paraId="50DED0B4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0EF9772A" w14:textId="7B150C1C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będzie miał wiedzę na temat stanu badań, związanych z jego doktoratem na świecie i w Polsce, umiejąc wskazać opracowania kluczowe i peryferyjne, ważne i fakultatywne oraz odkrywcze i wtórne.</w:t>
            </w:r>
          </w:p>
          <w:p w14:paraId="003CBB08" w14:textId="77777777" w:rsidR="00723C22" w:rsidRPr="006C2792" w:rsidRDefault="00723C22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34DFCC2B" w14:textId="16202EE1" w:rsidR="00723C22" w:rsidRPr="006C2792" w:rsidRDefault="00723C22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zdobędzie wiedzę na temat wzorcowych naukowych opracowań.</w:t>
            </w:r>
          </w:p>
          <w:p w14:paraId="347C232E" w14:textId="77777777" w:rsidR="00773475" w:rsidRPr="006C2792" w:rsidRDefault="00773475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195E7A46" w14:textId="58858BBF" w:rsidR="00773475" w:rsidRPr="006C2792" w:rsidRDefault="00773475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lastRenderedPageBreak/>
              <w:t>Doktorant zdobędzie wiedzę, czego brakuje w dotychczasowym stanie badań, nad czym należy pracować, a co mogło stracić na swojej aktualności.</w:t>
            </w:r>
          </w:p>
          <w:p w14:paraId="24EBE8B7" w14:textId="77777777" w:rsidR="00A72037" w:rsidRPr="006C2792" w:rsidRDefault="00A72037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376A1C5F" w14:textId="7F0D360A" w:rsidR="004D6340" w:rsidRPr="006C2792" w:rsidRDefault="008A6124">
            <w:pPr>
              <w:spacing w:after="0" w:line="258" w:lineRule="auto"/>
              <w:ind w:left="0" w:right="60" w:firstLine="0"/>
              <w:rPr>
                <w:b/>
                <w:sz w:val="26"/>
                <w:szCs w:val="26"/>
              </w:rPr>
            </w:pPr>
            <w:r w:rsidRPr="006C2792">
              <w:rPr>
                <w:b/>
                <w:sz w:val="26"/>
                <w:szCs w:val="26"/>
              </w:rPr>
              <w:t>UMIEJĘTNOŚCI</w:t>
            </w:r>
          </w:p>
          <w:p w14:paraId="3731DC97" w14:textId="77777777" w:rsidR="008A6124" w:rsidRPr="006C2792" w:rsidRDefault="008A6124" w:rsidP="008A6124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będzie umiał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  <w:r w:rsidRPr="006C2792">
              <w:rPr>
                <w:sz w:val="26"/>
                <w:szCs w:val="26"/>
              </w:rPr>
              <w:t>wskazać opracowania kluczowe i peryferyjne, ważne i fakultatywne oraz odkrywcze i wtórne.</w:t>
            </w:r>
          </w:p>
          <w:p w14:paraId="38DF1A04" w14:textId="2EACDF7A" w:rsidR="008A6124" w:rsidRPr="006C2792" w:rsidRDefault="008A6124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0EE867E6" w14:textId="77777777" w:rsidR="008A6124" w:rsidRPr="006C2792" w:rsidRDefault="008A6124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7CFD8A0E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będzie umiał wskazać literaturę podmiotową i przedmiotową w swoich badaniach.</w:t>
            </w:r>
          </w:p>
          <w:p w14:paraId="25A63AC4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5698BB31" w14:textId="149405BF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posiądzie umiejętność swobodnego korzystania z baz danych, wykupionych przez BJ.</w:t>
            </w:r>
          </w:p>
          <w:p w14:paraId="3C5220CA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3F52156C" w14:textId="1DF11C7D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będzie systematycznie pracować nad swoją rozprawą doktorską</w:t>
            </w:r>
            <w:r w:rsidR="00723C22" w:rsidRPr="006C2792">
              <w:rPr>
                <w:sz w:val="26"/>
                <w:szCs w:val="26"/>
              </w:rPr>
              <w:t>,</w:t>
            </w:r>
            <w:r w:rsidRPr="006C2792">
              <w:rPr>
                <w:sz w:val="26"/>
                <w:szCs w:val="26"/>
              </w:rPr>
              <w:t xml:space="preserve"> regularnie czytając do niej naukowe teksty.</w:t>
            </w:r>
          </w:p>
          <w:p w14:paraId="2601EDDC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5A23BC9F" w14:textId="5EBB7BA3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zdobędzie umiejętność krytycznej analizy naukowych tekstów.</w:t>
            </w:r>
          </w:p>
          <w:p w14:paraId="5E4D06ED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598302B7" w14:textId="57BBB219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Doktorant nauczy się konstruktywnej krytyki </w:t>
            </w:r>
            <w:r w:rsidR="006C16AF" w:rsidRPr="006C2792">
              <w:rPr>
                <w:sz w:val="26"/>
                <w:szCs w:val="26"/>
              </w:rPr>
              <w:t xml:space="preserve">w </w:t>
            </w:r>
            <w:r w:rsidRPr="006C2792">
              <w:rPr>
                <w:sz w:val="26"/>
                <w:szCs w:val="26"/>
              </w:rPr>
              <w:t>czytaniu specjalistycznej literatury.</w:t>
            </w:r>
          </w:p>
          <w:p w14:paraId="23317337" w14:textId="77777777" w:rsidR="00723C22" w:rsidRPr="006C2792" w:rsidRDefault="00723C22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01E2D628" w14:textId="763E7BB1" w:rsidR="00743E55" w:rsidRPr="006C2792" w:rsidRDefault="00743E55">
            <w:pPr>
              <w:spacing w:after="0" w:line="258" w:lineRule="auto"/>
              <w:ind w:left="0" w:right="60" w:firstLine="0"/>
              <w:rPr>
                <w:b/>
                <w:sz w:val="26"/>
                <w:szCs w:val="26"/>
              </w:rPr>
            </w:pPr>
            <w:r w:rsidRPr="006C2792">
              <w:rPr>
                <w:b/>
                <w:sz w:val="26"/>
                <w:szCs w:val="26"/>
              </w:rPr>
              <w:t>KOMPETENCJE SPOŁECZNE</w:t>
            </w:r>
          </w:p>
          <w:p w14:paraId="11D8BE61" w14:textId="13F29678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Doktorant zdobędzie ważne kompetencje społeczne np. umiejętności jasnego precyzowania swojego stanowiska </w:t>
            </w:r>
            <w:r w:rsidR="00743E55" w:rsidRPr="006C2792">
              <w:rPr>
                <w:sz w:val="26"/>
                <w:szCs w:val="26"/>
              </w:rPr>
              <w:t>w czasie dyskusji, umiejętność obrony swojego stanowiska lub przyjęcia zarzutów i weryfikację swojego poglądu.</w:t>
            </w:r>
          </w:p>
          <w:p w14:paraId="7603531D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0AD9E4E6" w14:textId="5EA893F4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zdobędzie kompetencje społeczne w zakresie naukowej dyskusji wokół problemu badawczego, argumentacji na rzecz swojej tezy, ale także kontrargumentacji.</w:t>
            </w:r>
          </w:p>
          <w:p w14:paraId="7D35DAC1" w14:textId="77777777" w:rsidR="00E7361F" w:rsidRPr="006C2792" w:rsidRDefault="00E7361F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16161DB8" w14:textId="0C1BD7C6" w:rsidR="00E7361F" w:rsidRPr="006C2792" w:rsidRDefault="00E7361F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nauczy się współpracy, będąc członkiem zespołu na zajęciach, omawia</w:t>
            </w:r>
            <w:r w:rsidR="00723C22" w:rsidRPr="006C2792">
              <w:rPr>
                <w:sz w:val="26"/>
                <w:szCs w:val="26"/>
              </w:rPr>
              <w:t>jąc recenzje innych doktorantów, uważnie słuchając i wymieniając opinie.</w:t>
            </w:r>
          </w:p>
          <w:p w14:paraId="5CDF6BA5" w14:textId="032E061C" w:rsidR="00E7361F" w:rsidRPr="006C2792" w:rsidRDefault="00E7361F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498DB612" w14:textId="0DA545AA" w:rsidR="00D0653F" w:rsidRPr="006C2792" w:rsidRDefault="00E7361F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nauczy się prowadzić kulturalną polemikę z innymi, wolną od argumentów ad personam, a nastawionych na naukową wymianę myśli i doświadczeń.</w:t>
            </w:r>
          </w:p>
        </w:tc>
      </w:tr>
      <w:tr w:rsidR="00D0653F" w:rsidRPr="006C2792" w14:paraId="516EDB88" w14:textId="77777777">
        <w:trPr>
          <w:trHeight w:val="136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848A" w14:textId="413301F8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lastRenderedPageBreak/>
              <w:t xml:space="preserve">Metody sprawdzania i kryteria oceny efektów kształcenia uzyskanych przez studentów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887B" w14:textId="5F1E1AD3" w:rsidR="00D0653F" w:rsidRPr="006C2792" w:rsidRDefault="007E1F07">
            <w:pPr>
              <w:spacing w:after="0" w:line="259" w:lineRule="auto"/>
              <w:ind w:left="0" w:right="62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Zaliczenie na ocenę na podstawie pisanych cotygodniowych recenzji (średnia ocen z wszystkich prac) oraz ocena z aktywności na zajęciach</w:t>
            </w:r>
            <w:r w:rsidR="0072243E" w:rsidRPr="006C2792">
              <w:rPr>
                <w:sz w:val="26"/>
                <w:szCs w:val="26"/>
              </w:rPr>
              <w:t>.</w:t>
            </w:r>
          </w:p>
        </w:tc>
      </w:tr>
      <w:tr w:rsidR="00D0653F" w:rsidRPr="006C2792" w14:paraId="01139C80" w14:textId="77777777">
        <w:trPr>
          <w:trHeight w:val="52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CC32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Typ modułu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6133" w14:textId="60EFCBCB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fakultatywny </w:t>
            </w:r>
          </w:p>
        </w:tc>
      </w:tr>
      <w:tr w:rsidR="00D0653F" w:rsidRPr="006C2792" w14:paraId="4D9A4C5C" w14:textId="77777777">
        <w:trPr>
          <w:trHeight w:val="52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8C1A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Rok studiów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A4B9" w14:textId="441525B6" w:rsidR="00D0653F" w:rsidRPr="006C2792" w:rsidRDefault="00FB2726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>I</w:t>
            </w:r>
            <w:r w:rsidR="007E1F07" w:rsidRPr="006C2792">
              <w:rPr>
                <w:i/>
                <w:sz w:val="26"/>
                <w:szCs w:val="26"/>
              </w:rPr>
              <w:t>,II</w:t>
            </w:r>
            <w:r w:rsidR="00713009">
              <w:rPr>
                <w:i/>
                <w:sz w:val="26"/>
                <w:szCs w:val="26"/>
              </w:rPr>
              <w:t>,III</w:t>
            </w:r>
          </w:p>
        </w:tc>
      </w:tr>
      <w:tr w:rsidR="00D0653F" w:rsidRPr="006C2792" w14:paraId="720963CF" w14:textId="77777777">
        <w:trPr>
          <w:trHeight w:val="52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48A1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Semestr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0ED8" w14:textId="42854C5B" w:rsidR="00D0653F" w:rsidRPr="006C2792" w:rsidRDefault="00FB2726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>zimowy</w:t>
            </w:r>
          </w:p>
        </w:tc>
      </w:tr>
      <w:tr w:rsidR="00D0653F" w:rsidRPr="006C2792" w14:paraId="23C41911" w14:textId="77777777">
        <w:trPr>
          <w:trHeight w:val="52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F967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Forma studiów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D256" w14:textId="4D56AEEF" w:rsidR="00D0653F" w:rsidRPr="006C2792" w:rsidRDefault="00947B3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>stacjonarne</w:t>
            </w:r>
          </w:p>
        </w:tc>
      </w:tr>
      <w:tr w:rsidR="00D0653F" w:rsidRPr="006C2792" w14:paraId="1863F7AD" w14:textId="77777777">
        <w:trPr>
          <w:trHeight w:val="83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6343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Imię i nazwisko koordynatora modułu i/lub osoby/osób prowadzących moduł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E31F" w14:textId="12B1A173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 </w:t>
            </w:r>
            <w:r w:rsidR="00072BAA" w:rsidRPr="006C2792">
              <w:rPr>
                <w:sz w:val="26"/>
                <w:szCs w:val="26"/>
              </w:rPr>
              <w:t xml:space="preserve">Dr hab. Anna </w:t>
            </w:r>
            <w:proofErr w:type="spellStart"/>
            <w:r w:rsidR="00072BAA" w:rsidRPr="006C2792">
              <w:rPr>
                <w:sz w:val="26"/>
                <w:szCs w:val="26"/>
              </w:rPr>
              <w:t>Citkowska</w:t>
            </w:r>
            <w:proofErr w:type="spellEnd"/>
            <w:r w:rsidR="00072BAA" w:rsidRPr="006C2792">
              <w:rPr>
                <w:sz w:val="26"/>
                <w:szCs w:val="26"/>
              </w:rPr>
              <w:t>-Kimla, prof. UJ</w:t>
            </w:r>
          </w:p>
        </w:tc>
      </w:tr>
      <w:tr w:rsidR="00D0653F" w:rsidRPr="006C2792" w14:paraId="3D15EE5E" w14:textId="77777777">
        <w:trPr>
          <w:trHeight w:val="139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7267" w14:textId="77777777" w:rsidR="00D0653F" w:rsidRPr="006C2792" w:rsidRDefault="00B170BC">
            <w:pPr>
              <w:spacing w:after="0" w:line="259" w:lineRule="auto"/>
              <w:ind w:left="0" w:right="59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Imię i nazwisko osoby/osób egzaminującej/egzaminujących bądź udzielającej zaliczenia, w przypadku gdy nie jest to osoba prowadząca dany moduł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A8FD" w14:textId="03B9A687" w:rsidR="00D0653F" w:rsidRPr="006C2792" w:rsidRDefault="00D0653F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D0653F" w:rsidRPr="006C2792" w14:paraId="15AAE321" w14:textId="77777777">
        <w:trPr>
          <w:trHeight w:val="1114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5AC0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Sposób realizacji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3FFC" w14:textId="7516AD08" w:rsidR="00D0653F" w:rsidRPr="006C2792" w:rsidRDefault="0046613A">
            <w:pPr>
              <w:spacing w:after="0" w:line="250" w:lineRule="auto"/>
              <w:ind w:left="0" w:right="5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Konwersatorium</w:t>
            </w:r>
          </w:p>
          <w:p w14:paraId="60075DEB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14:paraId="57D82BE6" w14:textId="77777777" w:rsidR="00D0653F" w:rsidRPr="006C2792" w:rsidRDefault="00D0653F">
      <w:pPr>
        <w:spacing w:after="0" w:line="259" w:lineRule="auto"/>
        <w:ind w:left="-1416" w:right="10550" w:firstLine="0"/>
        <w:jc w:val="left"/>
        <w:rPr>
          <w:sz w:val="26"/>
          <w:szCs w:val="26"/>
        </w:rPr>
      </w:pPr>
    </w:p>
    <w:tbl>
      <w:tblPr>
        <w:tblStyle w:val="TableGrid"/>
        <w:tblW w:w="9290" w:type="dxa"/>
        <w:tblInd w:w="-108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17"/>
        <w:gridCol w:w="5773"/>
      </w:tblGrid>
      <w:tr w:rsidR="00D0653F" w:rsidRPr="006C2792" w14:paraId="15204BB2" w14:textId="77777777">
        <w:trPr>
          <w:trHeight w:val="84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F844" w14:textId="77777777" w:rsidR="00D0653F" w:rsidRPr="006C2792" w:rsidRDefault="00D0653F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F6C9" w14:textId="155E6051" w:rsidR="00D0653F" w:rsidRPr="006C2792" w:rsidRDefault="00D0653F" w:rsidP="00687C1A">
            <w:pPr>
              <w:spacing w:after="0" w:line="259" w:lineRule="auto"/>
              <w:ind w:left="0" w:right="50" w:firstLine="0"/>
              <w:rPr>
                <w:sz w:val="26"/>
                <w:szCs w:val="26"/>
              </w:rPr>
            </w:pPr>
          </w:p>
        </w:tc>
      </w:tr>
      <w:tr w:rsidR="00D0653F" w:rsidRPr="006C2792" w14:paraId="70906253" w14:textId="77777777">
        <w:trPr>
          <w:trHeight w:val="166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BADE" w14:textId="77777777" w:rsidR="00D0653F" w:rsidRPr="006C2792" w:rsidRDefault="00B170BC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Wymagania wstępne i dodatkowe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FAE" w14:textId="62D5BA37" w:rsidR="00D0653F" w:rsidRPr="006C2792" w:rsidRDefault="00687C1A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Brak</w:t>
            </w:r>
          </w:p>
        </w:tc>
      </w:tr>
      <w:tr w:rsidR="00D0653F" w:rsidRPr="006C2792" w14:paraId="5DE1A3D9" w14:textId="77777777">
        <w:trPr>
          <w:trHeight w:val="442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DC4" w14:textId="77777777" w:rsidR="00D0653F" w:rsidRPr="006C2792" w:rsidRDefault="00B170BC">
            <w:pPr>
              <w:spacing w:after="0" w:line="259" w:lineRule="auto"/>
              <w:ind w:left="0" w:right="413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Rodzaj i liczba godzin zajęć dydaktycznych wymagających bezpośredniego udziału nauczyciela akademickiego i studentów, gdy w danym module przewidziane są takie zajęcia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FB76" w14:textId="4B598956" w:rsidR="00D0653F" w:rsidRPr="006C2792" w:rsidRDefault="00687C1A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30 h</w:t>
            </w:r>
          </w:p>
        </w:tc>
      </w:tr>
      <w:tr w:rsidR="00D0653F" w:rsidRPr="006C2792" w14:paraId="6A66B183" w14:textId="77777777">
        <w:trPr>
          <w:trHeight w:val="1114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EB3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lastRenderedPageBreak/>
              <w:t xml:space="preserve">Liczba punktów ECTS przypisana modułowi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CDF7" w14:textId="77777777" w:rsidR="00D0653F" w:rsidRPr="006C2792" w:rsidRDefault="00B170BC">
            <w:pPr>
              <w:spacing w:after="7" w:line="272" w:lineRule="auto"/>
              <w:ind w:left="0" w:right="196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Należy wskazać liczbę punktów przypisaną do modułu w planie studiów. </w:t>
            </w:r>
          </w:p>
          <w:p w14:paraId="7F4B3466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Uwaga! Liczba ECTS musi wynikać z poniższego bilansu. </w:t>
            </w:r>
          </w:p>
          <w:p w14:paraId="03262BB0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0653F" w:rsidRPr="006C2792" w14:paraId="1F5D94B3" w14:textId="77777777">
        <w:trPr>
          <w:trHeight w:val="587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DFBD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Bilans punktów ECTS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46B" w14:textId="4B8999B9" w:rsidR="00D0653F" w:rsidRPr="006C2792" w:rsidRDefault="00E5003A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05AB2" w:rsidRPr="006C2792">
              <w:rPr>
                <w:sz w:val="26"/>
                <w:szCs w:val="26"/>
              </w:rPr>
              <w:t xml:space="preserve"> ECTS</w:t>
            </w:r>
          </w:p>
          <w:p w14:paraId="06CE3D8A" w14:textId="77777777" w:rsidR="00D0653F" w:rsidRPr="006C2792" w:rsidRDefault="00B170BC">
            <w:pPr>
              <w:spacing w:after="17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 </w:t>
            </w:r>
          </w:p>
          <w:p w14:paraId="311B8CB5" w14:textId="79126FC7" w:rsidR="00D0653F" w:rsidRPr="006C2792" w:rsidRDefault="00D0653F">
            <w:pPr>
              <w:spacing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  <w:p w14:paraId="08F1D0BA" w14:textId="6BB23B6B" w:rsidR="00D0653F" w:rsidRPr="006C2792" w:rsidRDefault="00B05AB2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Ćwiczenia </w:t>
            </w:r>
            <w:r w:rsidR="00B170BC" w:rsidRPr="006C2792">
              <w:rPr>
                <w:sz w:val="26"/>
                <w:szCs w:val="26"/>
              </w:rPr>
              <w:t xml:space="preserve">– 30 h </w:t>
            </w:r>
          </w:p>
          <w:p w14:paraId="3FE1224C" w14:textId="77777777" w:rsidR="00D0653F" w:rsidRPr="006C2792" w:rsidRDefault="00B170BC">
            <w:pPr>
              <w:spacing w:after="19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 </w:t>
            </w:r>
          </w:p>
          <w:p w14:paraId="3AED9653" w14:textId="77777777" w:rsidR="00D0653F" w:rsidRPr="006C2792" w:rsidRDefault="00B170BC">
            <w:pPr>
              <w:spacing w:after="35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Praca własna studenta: </w:t>
            </w:r>
          </w:p>
          <w:p w14:paraId="0AB2891A" w14:textId="7200A852" w:rsidR="00B93BCE" w:rsidRPr="006C2792" w:rsidRDefault="00B93BCE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Lektura publikacji </w:t>
            </w:r>
            <w:r w:rsidR="007918BF" w:rsidRPr="006C2792">
              <w:rPr>
                <w:sz w:val="26"/>
                <w:szCs w:val="26"/>
              </w:rPr>
              <w:t xml:space="preserve">naukowych </w:t>
            </w:r>
            <w:r w:rsidR="00E5003A">
              <w:rPr>
                <w:sz w:val="26"/>
                <w:szCs w:val="26"/>
              </w:rPr>
              <w:t xml:space="preserve">15 </w:t>
            </w:r>
            <w:r w:rsidRPr="006C2792">
              <w:rPr>
                <w:sz w:val="26"/>
                <w:szCs w:val="26"/>
              </w:rPr>
              <w:t xml:space="preserve">h </w:t>
            </w:r>
          </w:p>
          <w:p w14:paraId="217355CF" w14:textId="18FA1577" w:rsidR="00D0653F" w:rsidRPr="006C2792" w:rsidRDefault="00B93BCE" w:rsidP="007918BF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P</w:t>
            </w:r>
            <w:r w:rsidR="00B170BC" w:rsidRPr="006C2792">
              <w:rPr>
                <w:sz w:val="26"/>
                <w:szCs w:val="26"/>
              </w:rPr>
              <w:t xml:space="preserve">rzygotowanie </w:t>
            </w:r>
            <w:r w:rsidR="007918BF" w:rsidRPr="006C2792">
              <w:rPr>
                <w:sz w:val="26"/>
                <w:szCs w:val="26"/>
              </w:rPr>
              <w:t xml:space="preserve">recenzji </w:t>
            </w:r>
            <w:r w:rsidR="00E5003A">
              <w:rPr>
                <w:sz w:val="26"/>
                <w:szCs w:val="26"/>
              </w:rPr>
              <w:t>15</w:t>
            </w:r>
            <w:r w:rsidR="00B170BC" w:rsidRPr="006C2792">
              <w:rPr>
                <w:sz w:val="26"/>
                <w:szCs w:val="26"/>
              </w:rPr>
              <w:t xml:space="preserve"> h </w:t>
            </w:r>
          </w:p>
          <w:p w14:paraId="60AF9A0C" w14:textId="77777777" w:rsidR="00D0653F" w:rsidRPr="006C2792" w:rsidRDefault="00B170BC">
            <w:pPr>
              <w:spacing w:after="0" w:line="259" w:lineRule="auto"/>
              <w:ind w:left="72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 </w:t>
            </w:r>
          </w:p>
          <w:p w14:paraId="1BC994C9" w14:textId="3689C300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w sumie: </w:t>
            </w:r>
            <w:r w:rsidR="00B93BCE" w:rsidRPr="006C2792">
              <w:rPr>
                <w:sz w:val="26"/>
                <w:szCs w:val="26"/>
              </w:rPr>
              <w:t>90 h = 3</w:t>
            </w:r>
            <w:r w:rsidRPr="006C2792">
              <w:rPr>
                <w:sz w:val="26"/>
                <w:szCs w:val="26"/>
              </w:rPr>
              <w:t xml:space="preserve"> pkt ECTS </w:t>
            </w:r>
          </w:p>
        </w:tc>
      </w:tr>
      <w:tr w:rsidR="00D0653F" w:rsidRPr="006C2792" w14:paraId="3B951487" w14:textId="77777777">
        <w:trPr>
          <w:trHeight w:val="11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AE9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Stosowane metody dydaktyczne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8C36" w14:textId="77777777" w:rsidR="00D0653F" w:rsidRPr="006C2792" w:rsidRDefault="00B170BC">
            <w:pPr>
              <w:spacing w:after="266" w:line="273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Należy opisać stosowane sposoby pracy ze studentami np.:  </w:t>
            </w:r>
          </w:p>
          <w:p w14:paraId="3279C142" w14:textId="12077E8F" w:rsidR="002A4BF0" w:rsidRPr="006C2792" w:rsidRDefault="000D2919" w:rsidP="002A4BF0">
            <w:pPr>
              <w:pStyle w:val="Akapitzlist"/>
              <w:numPr>
                <w:ilvl w:val="0"/>
                <w:numId w:val="11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6C2792">
              <w:rPr>
                <w:rFonts w:eastAsia="Segoe UI Symbol"/>
                <w:sz w:val="26"/>
                <w:szCs w:val="26"/>
              </w:rPr>
              <w:t xml:space="preserve">Elementy metody podającej </w:t>
            </w:r>
          </w:p>
          <w:p w14:paraId="54536F76" w14:textId="033017C5" w:rsidR="002A4BF0" w:rsidRPr="006C2792" w:rsidRDefault="002A4BF0" w:rsidP="002A4BF0">
            <w:pPr>
              <w:pStyle w:val="Akapitzlist"/>
              <w:numPr>
                <w:ilvl w:val="0"/>
                <w:numId w:val="11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6C2792">
              <w:rPr>
                <w:rFonts w:eastAsia="Segoe UI Symbol"/>
                <w:sz w:val="26"/>
                <w:szCs w:val="26"/>
              </w:rPr>
              <w:t>Elementy wykładu problemowy</w:t>
            </w:r>
          </w:p>
          <w:p w14:paraId="1F9C2122" w14:textId="670C86ED" w:rsidR="002A4BF0" w:rsidRPr="006C2792" w:rsidRDefault="002A4BF0" w:rsidP="002A4BF0">
            <w:pPr>
              <w:pStyle w:val="Akapitzlist"/>
              <w:numPr>
                <w:ilvl w:val="0"/>
                <w:numId w:val="11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Elementy wykładu konwersatoryjnego</w:t>
            </w:r>
          </w:p>
          <w:p w14:paraId="4019DF37" w14:textId="4683B529" w:rsidR="00D0653F" w:rsidRPr="006C2792" w:rsidRDefault="00D0653F" w:rsidP="002A4BF0">
            <w:pPr>
              <w:pStyle w:val="Akapitzlist"/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14:paraId="614146D3" w14:textId="1FE7EDD7" w:rsidR="00D0653F" w:rsidRPr="006C2792" w:rsidRDefault="00D0653F">
      <w:pPr>
        <w:spacing w:after="0" w:line="259" w:lineRule="auto"/>
        <w:ind w:left="-1416" w:right="10550" w:firstLine="0"/>
        <w:jc w:val="left"/>
        <w:rPr>
          <w:sz w:val="26"/>
          <w:szCs w:val="26"/>
        </w:rPr>
      </w:pPr>
    </w:p>
    <w:tbl>
      <w:tblPr>
        <w:tblStyle w:val="TableGrid"/>
        <w:tblW w:w="9290" w:type="dxa"/>
        <w:tblInd w:w="-108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517"/>
        <w:gridCol w:w="5773"/>
      </w:tblGrid>
      <w:tr w:rsidR="00D0653F" w:rsidRPr="006C2792" w14:paraId="10400549" w14:textId="77777777">
        <w:trPr>
          <w:trHeight w:val="494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E6F1" w14:textId="77777777" w:rsidR="00D0653F" w:rsidRPr="006C2792" w:rsidRDefault="00D0653F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80AB" w14:textId="5CC94ED1" w:rsidR="00D0653F" w:rsidRPr="006C2792" w:rsidRDefault="00D0653F">
            <w:pPr>
              <w:spacing w:after="58" w:line="281" w:lineRule="auto"/>
              <w:ind w:left="360" w:right="92" w:firstLine="360"/>
              <w:jc w:val="left"/>
              <w:rPr>
                <w:sz w:val="26"/>
                <w:szCs w:val="26"/>
              </w:rPr>
            </w:pPr>
          </w:p>
          <w:p w14:paraId="09530727" w14:textId="3A7B3395" w:rsidR="00D0653F" w:rsidRPr="006C2792" w:rsidRDefault="00B170BC">
            <w:pPr>
              <w:numPr>
                <w:ilvl w:val="0"/>
                <w:numId w:val="9"/>
              </w:numPr>
              <w:spacing w:after="64" w:line="275" w:lineRule="auto"/>
              <w:ind w:hanging="36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metody a</w:t>
            </w:r>
            <w:r w:rsidR="002A4BF0" w:rsidRPr="006C2792">
              <w:rPr>
                <w:sz w:val="26"/>
                <w:szCs w:val="26"/>
              </w:rPr>
              <w:t>ktywizujące (metoda przypadków, dyskusja dydaktyczna)</w:t>
            </w:r>
          </w:p>
          <w:p w14:paraId="77F86B79" w14:textId="242D54F9" w:rsidR="00D0653F" w:rsidRPr="006C2792" w:rsidRDefault="002A4BF0" w:rsidP="002A4BF0">
            <w:pPr>
              <w:numPr>
                <w:ilvl w:val="0"/>
                <w:numId w:val="9"/>
              </w:numPr>
              <w:spacing w:after="64" w:line="275" w:lineRule="auto"/>
              <w:ind w:hanging="36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metoda praktyczna (pisanie cotygodniowych recenzji)</w:t>
            </w:r>
          </w:p>
        </w:tc>
      </w:tr>
      <w:tr w:rsidR="00D0653F" w:rsidRPr="006C2792" w14:paraId="2017C21A" w14:textId="77777777">
        <w:trPr>
          <w:trHeight w:val="408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6C9B" w14:textId="42ADBF99" w:rsidR="00D0653F" w:rsidRPr="006C2792" w:rsidRDefault="00B170BC">
            <w:pPr>
              <w:spacing w:after="0" w:line="259" w:lineRule="auto"/>
              <w:ind w:left="0" w:right="396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lastRenderedPageBreak/>
              <w:t xml:space="preserve">Forma i warunki zaliczenia modułu, w tym zasady dopuszczenia do egzaminu, zaliczenia, a także forma i warunki zaliczenia poszczególnych zajęć wchodzących w zakres danego modułu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3ACB" w14:textId="13AD73BD" w:rsidR="00D0653F" w:rsidRPr="006C2792" w:rsidRDefault="00AB3007" w:rsidP="00AB3007">
            <w:pPr>
              <w:spacing w:after="164" w:line="259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</w:rPr>
              <w:t>ZAL-OCENA - zaliczenie na ocenę</w:t>
            </w:r>
          </w:p>
          <w:p w14:paraId="1C711883" w14:textId="77777777" w:rsidR="002A4BF0" w:rsidRPr="006C2792" w:rsidRDefault="002A4BF0">
            <w:pPr>
              <w:numPr>
                <w:ilvl w:val="0"/>
                <w:numId w:val="10"/>
              </w:numPr>
              <w:spacing w:after="41" w:line="246" w:lineRule="auto"/>
              <w:ind w:right="107" w:hanging="355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zaliczenie na podstawie średniej ocen z pisanych co tydzień recenzji z lektury naukowych tekstów </w:t>
            </w:r>
          </w:p>
          <w:p w14:paraId="00C47643" w14:textId="77777777" w:rsidR="002A4BF0" w:rsidRPr="006C2792" w:rsidRDefault="002A4BF0">
            <w:pPr>
              <w:numPr>
                <w:ilvl w:val="0"/>
                <w:numId w:val="10"/>
              </w:numPr>
              <w:spacing w:after="41" w:line="246" w:lineRule="auto"/>
              <w:ind w:right="107" w:hanging="355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oraz oceny z aktywności na zajęciach</w:t>
            </w:r>
          </w:p>
          <w:p w14:paraId="4A043FFE" w14:textId="7A21993D" w:rsidR="00D0653F" w:rsidRPr="006C2792" w:rsidRDefault="002A4BF0" w:rsidP="002A4BF0">
            <w:pPr>
              <w:numPr>
                <w:ilvl w:val="0"/>
                <w:numId w:val="10"/>
              </w:numPr>
              <w:spacing w:after="41" w:line="246" w:lineRule="auto"/>
              <w:ind w:right="107" w:hanging="355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warunkiem zaliczenia jest udział w zajęciach i pisanie co tydzień recenzji z naukowych lektur, związanych z doktoratem</w:t>
            </w:r>
            <w:r w:rsidR="00B170BC" w:rsidRPr="006C2792">
              <w:rPr>
                <w:i/>
                <w:sz w:val="26"/>
                <w:szCs w:val="26"/>
              </w:rPr>
              <w:t xml:space="preserve"> </w:t>
            </w:r>
            <w:r w:rsidR="0072243E" w:rsidRPr="006C2792">
              <w:rPr>
                <w:sz w:val="26"/>
                <w:szCs w:val="26"/>
              </w:rPr>
              <w:t>oraz aktywność na zajęciach</w:t>
            </w:r>
          </w:p>
        </w:tc>
      </w:tr>
      <w:tr w:rsidR="00D0653F" w:rsidRPr="006C2792" w14:paraId="030DC323" w14:textId="77777777">
        <w:trPr>
          <w:trHeight w:val="1114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1638" w14:textId="0162B809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Treści modułu (z podziałem na formy realizacji zajęć)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A8ED" w14:textId="5E0AA06E" w:rsidR="00D0653F" w:rsidRPr="006C2792" w:rsidRDefault="000D2919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Pierwsze zajęcia zostaną poświęcone zaprezentowaniu oczekiwań</w:t>
            </w:r>
            <w:r w:rsidR="00B66ADC" w:rsidRPr="006C2792">
              <w:rPr>
                <w:sz w:val="26"/>
                <w:szCs w:val="26"/>
              </w:rPr>
              <w:t>,</w:t>
            </w:r>
            <w:r w:rsidRPr="006C2792">
              <w:rPr>
                <w:sz w:val="26"/>
                <w:szCs w:val="26"/>
              </w:rPr>
              <w:t xml:space="preserve"> związanych z pisaniem co tydzień recenzji z wybranych przez doktoranta naukowych lektur, </w:t>
            </w:r>
            <w:r w:rsidR="00E31A30" w:rsidRPr="006C2792">
              <w:rPr>
                <w:sz w:val="26"/>
                <w:szCs w:val="26"/>
              </w:rPr>
              <w:t>dotyczących jego doktoratu.</w:t>
            </w:r>
          </w:p>
          <w:p w14:paraId="14F7D75D" w14:textId="5DF48AA0" w:rsidR="000D2919" w:rsidRPr="006C2792" w:rsidRDefault="000D2919" w:rsidP="00E31A3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Recenzja musi zawierać co najmniej 3600 znaków ze spacjami</w:t>
            </w:r>
            <w:r w:rsidR="00E31A30" w:rsidRPr="006C2792">
              <w:rPr>
                <w:sz w:val="26"/>
                <w:szCs w:val="26"/>
              </w:rPr>
              <w:t xml:space="preserve"> (2 strony)</w:t>
            </w:r>
            <w:r w:rsidRPr="006C2792">
              <w:rPr>
                <w:sz w:val="26"/>
                <w:szCs w:val="26"/>
              </w:rPr>
              <w:t xml:space="preserve">, omawiać treść artykułu/rozdziału/książki dotyczącej rozprawy doktorskiej </w:t>
            </w:r>
            <w:r w:rsidR="00E31A30" w:rsidRPr="006C2792">
              <w:rPr>
                <w:sz w:val="26"/>
                <w:szCs w:val="26"/>
              </w:rPr>
              <w:t xml:space="preserve">i kończyć się samodzielną oceną prezentowanej </w:t>
            </w:r>
            <w:r w:rsidR="00B66ADC" w:rsidRPr="006C2792">
              <w:rPr>
                <w:sz w:val="26"/>
                <w:szCs w:val="26"/>
              </w:rPr>
              <w:t>naukowej lektury (wskazywać na jej zalety i wady).</w:t>
            </w:r>
          </w:p>
        </w:tc>
      </w:tr>
      <w:tr w:rsidR="00D0653F" w:rsidRPr="006C2792" w14:paraId="5A3F3514" w14:textId="77777777">
        <w:trPr>
          <w:trHeight w:val="360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B99B" w14:textId="383478F8" w:rsidR="00D0653F" w:rsidRPr="006C2792" w:rsidRDefault="00B170BC">
            <w:pPr>
              <w:spacing w:after="0" w:line="259" w:lineRule="auto"/>
              <w:ind w:left="0" w:right="103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Wykaz literatury podstawowej i uzupełniającej obowiązującej do zaliczenia danego modułu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4798" w14:textId="0429FF4E" w:rsidR="001F303A" w:rsidRPr="006C2792" w:rsidRDefault="001F303A" w:rsidP="001F303A">
            <w:pPr>
              <w:spacing w:after="0" w:line="274" w:lineRule="auto"/>
              <w:ind w:left="0" w:firstLine="0"/>
              <w:rPr>
                <w:b/>
                <w:sz w:val="26"/>
                <w:szCs w:val="26"/>
              </w:rPr>
            </w:pPr>
            <w:r w:rsidRPr="006C2792">
              <w:rPr>
                <w:b/>
                <w:sz w:val="26"/>
                <w:szCs w:val="26"/>
              </w:rPr>
              <w:t>Literatura uzupełniająca</w:t>
            </w:r>
          </w:p>
          <w:p w14:paraId="1F661D0B" w14:textId="3EA5D328" w:rsidR="00AE143D" w:rsidRPr="006C2792" w:rsidRDefault="00AE143D">
            <w:pPr>
              <w:spacing w:after="0" w:line="274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Stępień</w:t>
            </w:r>
            <w:r w:rsidR="001F303A" w:rsidRPr="006C2792">
              <w:rPr>
                <w:sz w:val="26"/>
                <w:szCs w:val="26"/>
              </w:rPr>
              <w:t xml:space="preserve"> B.</w:t>
            </w:r>
            <w:r w:rsidRPr="006C2792">
              <w:rPr>
                <w:sz w:val="26"/>
                <w:szCs w:val="26"/>
              </w:rPr>
              <w:t xml:space="preserve">, </w:t>
            </w:r>
            <w:r w:rsidRPr="006C2792">
              <w:rPr>
                <w:i/>
                <w:sz w:val="26"/>
                <w:szCs w:val="26"/>
              </w:rPr>
              <w:t>Zasady pisania tekstów naukowych. Prace doktorskie i artykuły</w:t>
            </w:r>
            <w:r w:rsidRPr="006C2792">
              <w:rPr>
                <w:sz w:val="26"/>
                <w:szCs w:val="26"/>
              </w:rPr>
              <w:t>, Warszawa 2020.</w:t>
            </w:r>
          </w:p>
          <w:p w14:paraId="017A19E3" w14:textId="77777777" w:rsidR="00C6737E" w:rsidRPr="006C2792" w:rsidRDefault="00C6737E">
            <w:pPr>
              <w:spacing w:after="0" w:line="274" w:lineRule="auto"/>
              <w:ind w:left="0" w:firstLine="0"/>
              <w:jc w:val="left"/>
              <w:rPr>
                <w:sz w:val="26"/>
                <w:szCs w:val="26"/>
              </w:rPr>
            </w:pPr>
          </w:p>
          <w:p w14:paraId="6407AF10" w14:textId="6D5D7EF6" w:rsidR="001F303A" w:rsidRPr="006C2792" w:rsidRDefault="001F303A" w:rsidP="001F303A">
            <w:pPr>
              <w:pStyle w:val="NormalnyWeb"/>
              <w:spacing w:before="0" w:beforeAutospacing="0" w:after="90" w:afterAutospacing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Becker H., </w:t>
            </w:r>
            <w:r w:rsidRPr="006C2792">
              <w:rPr>
                <w:i/>
                <w:sz w:val="26"/>
                <w:szCs w:val="26"/>
              </w:rPr>
              <w:t>Warsztat pisarski badacza</w:t>
            </w:r>
            <w:r w:rsidRPr="006C2792">
              <w:rPr>
                <w:sz w:val="26"/>
                <w:szCs w:val="26"/>
              </w:rPr>
              <w:t>, Warszawa 2013.</w:t>
            </w:r>
          </w:p>
          <w:p w14:paraId="443FCDFD" w14:textId="77777777" w:rsidR="00C6737E" w:rsidRPr="006C2792" w:rsidRDefault="00C6737E" w:rsidP="001F303A">
            <w:pPr>
              <w:pStyle w:val="NormalnyWeb"/>
              <w:spacing w:before="0" w:beforeAutospacing="0" w:after="90" w:afterAutospacing="0"/>
              <w:rPr>
                <w:sz w:val="26"/>
                <w:szCs w:val="26"/>
              </w:rPr>
            </w:pPr>
          </w:p>
          <w:p w14:paraId="15D3EC0E" w14:textId="40D83196" w:rsidR="001F303A" w:rsidRPr="006C2792" w:rsidRDefault="001F303A" w:rsidP="001F303A">
            <w:pPr>
              <w:pStyle w:val="NormalnyWeb"/>
              <w:spacing w:before="0" w:beforeAutospacing="0" w:after="90" w:afterAutospacing="0"/>
              <w:rPr>
                <w:sz w:val="26"/>
                <w:szCs w:val="26"/>
              </w:rPr>
            </w:pPr>
            <w:proofErr w:type="spellStart"/>
            <w:r w:rsidRPr="006C2792">
              <w:rPr>
                <w:sz w:val="26"/>
                <w:szCs w:val="26"/>
              </w:rPr>
              <w:t>Biecek</w:t>
            </w:r>
            <w:proofErr w:type="spellEnd"/>
            <w:r w:rsidRPr="006C2792">
              <w:rPr>
                <w:sz w:val="26"/>
                <w:szCs w:val="26"/>
              </w:rPr>
              <w:t xml:space="preserve"> P., </w:t>
            </w:r>
            <w:r w:rsidRPr="006C2792">
              <w:rPr>
                <w:i/>
                <w:sz w:val="26"/>
                <w:szCs w:val="26"/>
              </w:rPr>
              <w:t xml:space="preserve">Odkrywać! Ujawniać! Objaśniać!: zbiór esejów o sztuce prezentowania danych. </w:t>
            </w:r>
            <w:r w:rsidRPr="006C2792">
              <w:rPr>
                <w:sz w:val="26"/>
                <w:szCs w:val="26"/>
              </w:rPr>
              <w:t>Warszawa 2014.</w:t>
            </w:r>
          </w:p>
          <w:p w14:paraId="5ECE4969" w14:textId="77777777" w:rsidR="00C6737E" w:rsidRPr="006C2792" w:rsidRDefault="00C6737E" w:rsidP="001F303A">
            <w:pPr>
              <w:pStyle w:val="NormalnyWeb"/>
              <w:spacing w:before="0" w:beforeAutospacing="0" w:after="90" w:afterAutospacing="0"/>
              <w:rPr>
                <w:sz w:val="26"/>
                <w:szCs w:val="26"/>
              </w:rPr>
            </w:pPr>
          </w:p>
          <w:p w14:paraId="3A07D9E7" w14:textId="67B06E21" w:rsidR="00D0653F" w:rsidRPr="006C2792" w:rsidRDefault="001F303A" w:rsidP="001F303A">
            <w:pPr>
              <w:pStyle w:val="NormalnyWeb"/>
              <w:spacing w:before="0" w:beforeAutospacing="0" w:after="90" w:afterAutospacing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Cempel C., </w:t>
            </w:r>
            <w:r w:rsidRPr="006C2792">
              <w:rPr>
                <w:i/>
                <w:sz w:val="26"/>
                <w:szCs w:val="26"/>
              </w:rPr>
              <w:t>Nowoczesne zagadnienia metodologii i filozofii badań</w:t>
            </w:r>
            <w:r w:rsidRPr="006C2792">
              <w:rPr>
                <w:sz w:val="26"/>
                <w:szCs w:val="26"/>
              </w:rPr>
              <w:t>, Poznań 2003.</w:t>
            </w:r>
          </w:p>
        </w:tc>
      </w:tr>
    </w:tbl>
    <w:p w14:paraId="45E42904" w14:textId="2B04A43C" w:rsidR="00B170BC" w:rsidRDefault="00B170BC">
      <w:pPr>
        <w:rPr>
          <w:sz w:val="26"/>
          <w:szCs w:val="26"/>
        </w:rPr>
      </w:pPr>
    </w:p>
    <w:p w14:paraId="3E30339A" w14:textId="77777777" w:rsidR="0068187E" w:rsidRDefault="0068187E">
      <w:pPr>
        <w:rPr>
          <w:sz w:val="26"/>
          <w:szCs w:val="26"/>
        </w:rPr>
      </w:pPr>
    </w:p>
    <w:p w14:paraId="5A386DE4" w14:textId="52EF48B8" w:rsidR="0068187E" w:rsidRDefault="0068187E">
      <w:pPr>
        <w:rPr>
          <w:sz w:val="26"/>
          <w:szCs w:val="26"/>
        </w:rPr>
      </w:pPr>
      <w:r>
        <w:rPr>
          <w:sz w:val="26"/>
          <w:szCs w:val="26"/>
        </w:rPr>
        <w:t>Liczebność grupy:</w:t>
      </w:r>
      <w:r w:rsidR="007A26CA">
        <w:rPr>
          <w:sz w:val="26"/>
          <w:szCs w:val="26"/>
        </w:rPr>
        <w:t xml:space="preserve"> maksymalnie 10</w:t>
      </w:r>
      <w:r>
        <w:rPr>
          <w:sz w:val="26"/>
          <w:szCs w:val="26"/>
        </w:rPr>
        <w:t xml:space="preserve"> osób</w:t>
      </w:r>
      <w:r w:rsidR="003A3E41">
        <w:rPr>
          <w:sz w:val="26"/>
          <w:szCs w:val="26"/>
        </w:rPr>
        <w:t xml:space="preserve"> (dolny limit bez znaczenia)</w:t>
      </w:r>
    </w:p>
    <w:p w14:paraId="3488FC6F" w14:textId="77777777" w:rsidR="000A4E57" w:rsidRDefault="000A4E57">
      <w:pPr>
        <w:rPr>
          <w:sz w:val="26"/>
          <w:szCs w:val="26"/>
        </w:rPr>
      </w:pPr>
    </w:p>
    <w:sectPr w:rsidR="000A4E57">
      <w:pgSz w:w="11906" w:h="16838"/>
      <w:pgMar w:top="708" w:right="1356" w:bottom="6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506"/>
    <w:multiLevelType w:val="hybridMultilevel"/>
    <w:tmpl w:val="E3782290"/>
    <w:lvl w:ilvl="0" w:tplc="486810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ECB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A8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854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48B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634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04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89C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8F6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22160"/>
    <w:multiLevelType w:val="hybridMultilevel"/>
    <w:tmpl w:val="3FA061C4"/>
    <w:lvl w:ilvl="0" w:tplc="0D8C34B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87FD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0C60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6C6C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A80D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2729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652D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EE2E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261C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376AF"/>
    <w:multiLevelType w:val="hybridMultilevel"/>
    <w:tmpl w:val="C4F47D1C"/>
    <w:lvl w:ilvl="0" w:tplc="004483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EB6A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652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A2C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358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648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8119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8D03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453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00F8A"/>
    <w:multiLevelType w:val="hybridMultilevel"/>
    <w:tmpl w:val="CB565BB0"/>
    <w:lvl w:ilvl="0" w:tplc="E550DF9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AE5B2">
      <w:start w:val="1"/>
      <w:numFmt w:val="decimal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AD498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45388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45B18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4D8F6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4102C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65DA0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65268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C72C3D"/>
    <w:multiLevelType w:val="hybridMultilevel"/>
    <w:tmpl w:val="A0D805DA"/>
    <w:lvl w:ilvl="0" w:tplc="FF60922C">
      <w:start w:val="1"/>
      <w:numFmt w:val="upperRoman"/>
      <w:lvlText w:val="%1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2EB2ECFE">
      <w:start w:val="1"/>
      <w:numFmt w:val="upperRoman"/>
      <w:lvlText w:val="%2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20B00">
      <w:start w:val="1"/>
      <w:numFmt w:val="lowerRoman"/>
      <w:lvlText w:val="%3"/>
      <w:lvlJc w:val="left"/>
      <w:pPr>
        <w:ind w:left="9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CE03AA">
      <w:start w:val="1"/>
      <w:numFmt w:val="decimal"/>
      <w:lvlText w:val="%4"/>
      <w:lvlJc w:val="left"/>
      <w:pPr>
        <w:ind w:left="9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9A21B8">
      <w:start w:val="1"/>
      <w:numFmt w:val="lowerLetter"/>
      <w:lvlText w:val="%5"/>
      <w:lvlJc w:val="left"/>
      <w:pPr>
        <w:ind w:left="10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EF31A">
      <w:start w:val="1"/>
      <w:numFmt w:val="lowerRoman"/>
      <w:lvlText w:val="%6"/>
      <w:lvlJc w:val="left"/>
      <w:pPr>
        <w:ind w:left="1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C264E6">
      <w:start w:val="1"/>
      <w:numFmt w:val="decimal"/>
      <w:lvlText w:val="%7"/>
      <w:lvlJc w:val="left"/>
      <w:pPr>
        <w:ind w:left="12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5C2FEA">
      <w:start w:val="1"/>
      <w:numFmt w:val="lowerLetter"/>
      <w:lvlText w:val="%8"/>
      <w:lvlJc w:val="left"/>
      <w:pPr>
        <w:ind w:left="1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BEA7F2">
      <w:start w:val="1"/>
      <w:numFmt w:val="lowerRoman"/>
      <w:lvlText w:val="%9"/>
      <w:lvlJc w:val="left"/>
      <w:pPr>
        <w:ind w:left="13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436986"/>
    <w:multiLevelType w:val="hybridMultilevel"/>
    <w:tmpl w:val="2EB8A160"/>
    <w:lvl w:ilvl="0" w:tplc="6F0EE70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2506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A5C6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07B5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E46F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8B1E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E439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A407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EFBC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D966D1"/>
    <w:multiLevelType w:val="hybridMultilevel"/>
    <w:tmpl w:val="E08A9CFC"/>
    <w:lvl w:ilvl="0" w:tplc="3CC6C6B6">
      <w:start w:val="3"/>
      <w:numFmt w:val="bullet"/>
      <w:lvlText w:val=""/>
      <w:lvlJc w:val="left"/>
      <w:pPr>
        <w:ind w:left="720" w:hanging="360"/>
      </w:pPr>
      <w:rPr>
        <w:rFonts w:ascii="Symbol" w:eastAsia="Segoe UI Symbol" w:hAnsi="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63A28"/>
    <w:multiLevelType w:val="hybridMultilevel"/>
    <w:tmpl w:val="AC9C82E2"/>
    <w:lvl w:ilvl="0" w:tplc="B81226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C29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EED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82D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4B1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AF9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A1E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C148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72D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133832"/>
    <w:multiLevelType w:val="hybridMultilevel"/>
    <w:tmpl w:val="27BCE4E2"/>
    <w:lvl w:ilvl="0" w:tplc="324290E4">
      <w:start w:val="1"/>
      <w:numFmt w:val="bullet"/>
      <w:lvlText w:val="•"/>
      <w:lvlJc w:val="left"/>
      <w:pPr>
        <w:ind w:left="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C7BA8">
      <w:start w:val="1"/>
      <w:numFmt w:val="bullet"/>
      <w:lvlText w:val="o"/>
      <w:lvlJc w:val="left"/>
      <w:pPr>
        <w:ind w:left="1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AA0CC">
      <w:start w:val="1"/>
      <w:numFmt w:val="bullet"/>
      <w:lvlText w:val="▪"/>
      <w:lvlJc w:val="left"/>
      <w:pPr>
        <w:ind w:left="2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440EC">
      <w:start w:val="1"/>
      <w:numFmt w:val="bullet"/>
      <w:lvlText w:val="•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047F2">
      <w:start w:val="1"/>
      <w:numFmt w:val="bullet"/>
      <w:lvlText w:val="o"/>
      <w:lvlJc w:val="left"/>
      <w:pPr>
        <w:ind w:left="3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35C4">
      <w:start w:val="1"/>
      <w:numFmt w:val="bullet"/>
      <w:lvlText w:val="▪"/>
      <w:lvlJc w:val="left"/>
      <w:pPr>
        <w:ind w:left="4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85568">
      <w:start w:val="1"/>
      <w:numFmt w:val="bullet"/>
      <w:lvlText w:val="•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49408">
      <w:start w:val="1"/>
      <w:numFmt w:val="bullet"/>
      <w:lvlText w:val="o"/>
      <w:lvlJc w:val="left"/>
      <w:pPr>
        <w:ind w:left="5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8FD30">
      <w:start w:val="1"/>
      <w:numFmt w:val="bullet"/>
      <w:lvlText w:val="▪"/>
      <w:lvlJc w:val="left"/>
      <w:pPr>
        <w:ind w:left="6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E028BF"/>
    <w:multiLevelType w:val="hybridMultilevel"/>
    <w:tmpl w:val="D9CCE84C"/>
    <w:lvl w:ilvl="0" w:tplc="2CDC80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6EE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ED4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86E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EF4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230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0B9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2BB8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C2A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B30806"/>
    <w:multiLevelType w:val="hybridMultilevel"/>
    <w:tmpl w:val="212019B6"/>
    <w:lvl w:ilvl="0" w:tplc="B46C318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ACED6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63030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460A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8140E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C5FBC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2082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0F90C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83EFA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3F"/>
    <w:rsid w:val="00034D91"/>
    <w:rsid w:val="00072BAA"/>
    <w:rsid w:val="000A4E57"/>
    <w:rsid w:val="000D2919"/>
    <w:rsid w:val="00131B33"/>
    <w:rsid w:val="001F303A"/>
    <w:rsid w:val="002A4BF0"/>
    <w:rsid w:val="003275AE"/>
    <w:rsid w:val="00327A1E"/>
    <w:rsid w:val="003A3E41"/>
    <w:rsid w:val="003B1A56"/>
    <w:rsid w:val="0046613A"/>
    <w:rsid w:val="004D6340"/>
    <w:rsid w:val="005831DD"/>
    <w:rsid w:val="00611737"/>
    <w:rsid w:val="0068187E"/>
    <w:rsid w:val="00685351"/>
    <w:rsid w:val="00687C1A"/>
    <w:rsid w:val="006C16AF"/>
    <w:rsid w:val="006C2792"/>
    <w:rsid w:val="00713009"/>
    <w:rsid w:val="0072243E"/>
    <w:rsid w:val="00723C22"/>
    <w:rsid w:val="00743E55"/>
    <w:rsid w:val="00773475"/>
    <w:rsid w:val="007918BF"/>
    <w:rsid w:val="00797C8F"/>
    <w:rsid w:val="007A26CA"/>
    <w:rsid w:val="007E1F07"/>
    <w:rsid w:val="00885B20"/>
    <w:rsid w:val="008A6124"/>
    <w:rsid w:val="00947B33"/>
    <w:rsid w:val="00965630"/>
    <w:rsid w:val="009A16C9"/>
    <w:rsid w:val="00A50F20"/>
    <w:rsid w:val="00A6110D"/>
    <w:rsid w:val="00A72037"/>
    <w:rsid w:val="00A923A8"/>
    <w:rsid w:val="00AB3007"/>
    <w:rsid w:val="00AE143D"/>
    <w:rsid w:val="00B05AB2"/>
    <w:rsid w:val="00B170BC"/>
    <w:rsid w:val="00B66ADC"/>
    <w:rsid w:val="00B93BCE"/>
    <w:rsid w:val="00BD012D"/>
    <w:rsid w:val="00C6737E"/>
    <w:rsid w:val="00C719BA"/>
    <w:rsid w:val="00D0653F"/>
    <w:rsid w:val="00D1525F"/>
    <w:rsid w:val="00E31A30"/>
    <w:rsid w:val="00E5003A"/>
    <w:rsid w:val="00E7361F"/>
    <w:rsid w:val="00F11DC5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E62B"/>
  <w15:docId w15:val="{DC99A1E0-FAF4-47FA-97ED-BE4BD1D0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70" w:lineRule="auto"/>
      <w:ind w:left="10" w:right="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"/>
      <w:ind w:right="59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A4BF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303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2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27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Rymsa</dc:creator>
  <cp:keywords/>
  <cp:lastModifiedBy>Danuta Wisła</cp:lastModifiedBy>
  <cp:revision>2</cp:revision>
  <dcterms:created xsi:type="dcterms:W3CDTF">2021-10-02T15:13:00Z</dcterms:created>
  <dcterms:modified xsi:type="dcterms:W3CDTF">2021-10-02T15:13:00Z</dcterms:modified>
</cp:coreProperties>
</file>