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0F0A" w14:textId="77777777" w:rsidR="00EB3B4F" w:rsidRPr="00B14B25" w:rsidRDefault="00EB3B4F" w:rsidP="00EB3B4F">
      <w:pPr>
        <w:pStyle w:val="Nagwek"/>
        <w:jc w:val="right"/>
      </w:pPr>
    </w:p>
    <w:p w14:paraId="15ABC701" w14:textId="77777777" w:rsidR="00542B38" w:rsidRPr="00B14B25" w:rsidRDefault="00542B38" w:rsidP="00EB3B4F">
      <w:pPr>
        <w:pStyle w:val="Nagwek"/>
        <w:jc w:val="center"/>
        <w:rPr>
          <w:b/>
          <w:lang w:val="en-GB"/>
        </w:rPr>
      </w:pPr>
      <w:r w:rsidRPr="00B14B25">
        <w:rPr>
          <w:b/>
          <w:lang w:val="en-GB"/>
        </w:rPr>
        <w:t xml:space="preserve">Syllabus of an educational component of a degree programme </w:t>
      </w:r>
    </w:p>
    <w:p w14:paraId="79FE3911" w14:textId="77777777" w:rsidR="00EB3B4F" w:rsidRPr="00B14B25" w:rsidRDefault="00EB3B4F" w:rsidP="00EB3B4F">
      <w:pPr>
        <w:pStyle w:val="Nagwek"/>
        <w:jc w:val="right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B14B25" w:rsidRPr="00B14B25" w14:paraId="309D828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8E03ADC" w14:textId="77777777" w:rsidR="00542B38" w:rsidRPr="00B14B25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3D3EE329" w14:textId="77777777" w:rsidR="00EB3B4F" w:rsidRPr="00B14B25" w:rsidRDefault="00793025" w:rsidP="00EE0101">
            <w:pPr>
              <w:rPr>
                <w:rFonts w:ascii="Times New Roman" w:eastAsia="Calibri" w:hAnsi="Times New Roman" w:cs="Times New Roman"/>
                <w:b/>
                <w:i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b/>
                <w:i/>
                <w:lang w:val="en-GB"/>
              </w:rPr>
              <w:t>Doctoral School of Social Sciences</w:t>
            </w:r>
          </w:p>
        </w:tc>
      </w:tr>
      <w:tr w:rsidR="00B14B25" w:rsidRPr="00B14B25" w14:paraId="5B28FAF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A608DB" w14:textId="77777777" w:rsidR="00542B38" w:rsidRPr="00B14B25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6DAE84C9" w14:textId="34ACFE3C" w:rsidR="00EB3B4F" w:rsidRPr="00B14B25" w:rsidRDefault="00284490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Interdisciplinarity in </w:t>
            </w:r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>Theory and Practice [</w:t>
            </w:r>
            <w:proofErr w:type="spellStart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>Inerdyscyplinarność</w:t>
            </w:r>
            <w:proofErr w:type="spellEnd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 xml:space="preserve"> w </w:t>
            </w:r>
            <w:proofErr w:type="spellStart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>teorii</w:t>
            </w:r>
            <w:proofErr w:type="spellEnd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>i</w:t>
            </w:r>
            <w:proofErr w:type="spellEnd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>praktyce</w:t>
            </w:r>
            <w:proofErr w:type="spellEnd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>]</w:t>
            </w:r>
          </w:p>
        </w:tc>
      </w:tr>
      <w:tr w:rsidR="00B14B25" w:rsidRPr="00B14B25" w14:paraId="7AAB0BE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E2FED5B" w14:textId="77777777" w:rsidR="00542B38" w:rsidRPr="00B14B25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1FB194ED" w14:textId="77777777" w:rsidR="00EB3B4F" w:rsidRPr="00B14B25" w:rsidRDefault="00823CD8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English</w:t>
            </w:r>
          </w:p>
        </w:tc>
      </w:tr>
      <w:tr w:rsidR="00B14B25" w:rsidRPr="00B14B25" w14:paraId="5D3449A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EF4ABE2" w14:textId="77777777" w:rsidR="00542B38" w:rsidRPr="00B14B25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5B72C674" w14:textId="77777777" w:rsidR="00595EA0" w:rsidRPr="00B14B25" w:rsidRDefault="00A65DEC" w:rsidP="00D24E7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The goals of the course are threefold: to introduce the students to the concept of interdisciplinarity and the related concepts (of </w:t>
            </w:r>
            <w:proofErr w:type="spellStart"/>
            <w:r w:rsidRPr="00B14B25">
              <w:rPr>
                <w:rFonts w:ascii="Times New Roman" w:eastAsia="Calibri" w:hAnsi="Times New Roman" w:cs="Times New Roman"/>
                <w:lang w:val="en-US"/>
              </w:rPr>
              <w:t>multidisciplinarity</w:t>
            </w:r>
            <w:proofErr w:type="spellEnd"/>
            <w:r w:rsidRPr="00B14B25">
              <w:rPr>
                <w:rFonts w:ascii="Times New Roman" w:eastAsia="Calibri" w:hAnsi="Times New Roman" w:cs="Times New Roman"/>
                <w:lang w:val="en-US"/>
              </w:rPr>
              <w:t>, non-</w:t>
            </w:r>
            <w:proofErr w:type="spellStart"/>
            <w:r w:rsidRPr="00B14B25">
              <w:rPr>
                <w:rFonts w:ascii="Times New Roman" w:eastAsia="Calibri" w:hAnsi="Times New Roman" w:cs="Times New Roman"/>
                <w:lang w:val="en-US"/>
              </w:rPr>
              <w:t>disciplinarity</w:t>
            </w:r>
            <w:proofErr w:type="spellEnd"/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proofErr w:type="spellStart"/>
            <w:r w:rsidRPr="00B14B25">
              <w:rPr>
                <w:rFonts w:ascii="Times New Roman" w:eastAsia="Calibri" w:hAnsi="Times New Roman" w:cs="Times New Roman"/>
                <w:lang w:val="en-US"/>
              </w:rPr>
              <w:t>transdisciplinarity</w:t>
            </w:r>
            <w:proofErr w:type="spellEnd"/>
            <w:r w:rsidRPr="00B14B25">
              <w:rPr>
                <w:rFonts w:ascii="Times New Roman" w:eastAsia="Calibri" w:hAnsi="Times New Roman" w:cs="Times New Roman"/>
                <w:lang w:val="en-US"/>
              </w:rPr>
              <w:t>, various forms of ‘reductionism’), to present the most common ‘pitfalls’ of interdisciplinary rese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>arch</w:t>
            </w:r>
            <w:r w:rsidR="000050A4" w:rsidRPr="00B14B25">
              <w:rPr>
                <w:rFonts w:ascii="Times New Roman" w:eastAsia="Calibri" w:hAnsi="Times New Roman" w:cs="Times New Roman"/>
                <w:lang w:val="en-US"/>
              </w:rPr>
              <w:t xml:space="preserve"> and ways of avoiding them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 xml:space="preserve">, and, finally, to discuss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examples of successful interdisciplinary research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 xml:space="preserve"> above all</w:t>
            </w:r>
            <w:r w:rsidR="000050A4" w:rsidRPr="00B14B25">
              <w:rPr>
                <w:rFonts w:ascii="Times New Roman" w:eastAsia="Calibri" w:hAnsi="Times New Roman" w:cs="Times New Roman"/>
                <w:lang w:val="en-US"/>
              </w:rPr>
              <w:t xml:space="preserve"> from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various branches of the social sciences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 xml:space="preserve">  (economics, sociology, psycholog</w:t>
            </w:r>
            <w:r w:rsidR="000050A4" w:rsidRPr="00B14B25">
              <w:rPr>
                <w:rFonts w:ascii="Times New Roman" w:eastAsia="Calibri" w:hAnsi="Times New Roman" w:cs="Times New Roman"/>
                <w:lang w:val="en-US"/>
              </w:rPr>
              <w:t>y/cognitive science) but also from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 xml:space="preserve"> the legal</w:t>
            </w:r>
            <w:r w:rsidR="000050A4" w:rsidRPr="00B14B25">
              <w:rPr>
                <w:rFonts w:ascii="Times New Roman" w:eastAsia="Calibri" w:hAnsi="Times New Roman" w:cs="Times New Roman"/>
                <w:lang w:val="en-US"/>
              </w:rPr>
              <w:t xml:space="preserve"> sciences (especially: law-economics, and law-Darwinian evolutionary theory) and from the humanities (history, especially: history-economics and history-geography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>).</w:t>
            </w:r>
          </w:p>
        </w:tc>
      </w:tr>
      <w:tr w:rsidR="00B14B25" w:rsidRPr="00B14B25" w14:paraId="39F7AB4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FB3D27" w14:textId="77777777" w:rsidR="00542B38" w:rsidRPr="00B14B25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7665C9B2" w14:textId="77777777" w:rsidR="00823CD8" w:rsidRPr="00B14B25" w:rsidRDefault="00D24E7E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US"/>
              </w:rPr>
              <w:t>Knowledge of: the concept of interdisciplinarity (and the rel</w:t>
            </w:r>
            <w:r w:rsidR="00257D2C" w:rsidRPr="00B14B25">
              <w:rPr>
                <w:rFonts w:ascii="Times New Roman" w:eastAsia="Calibri" w:hAnsi="Times New Roman" w:cs="Times New Roman"/>
                <w:lang w:val="en-US"/>
              </w:rPr>
              <w:t xml:space="preserve">ated concepts), the ‘pitfalls’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of interdiscipl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arity</w:t>
            </w:r>
            <w:r w:rsidR="00257D2C" w:rsidRPr="00B14B25">
              <w:rPr>
                <w:rFonts w:ascii="Times New Roman" w:eastAsia="Calibri" w:hAnsi="Times New Roman" w:cs="Times New Roman"/>
                <w:lang w:val="en-US"/>
              </w:rPr>
              <w:t xml:space="preserve"> and the ways of avoiding them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, the examples of successful interdisciplinary research from various branches of the social sciences, from  the legal sciences, and 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also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from the humanities. </w:t>
            </w:r>
          </w:p>
        </w:tc>
      </w:tr>
      <w:tr w:rsidR="00B14B25" w:rsidRPr="00B14B25" w14:paraId="48FDFD2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D726EC6" w14:textId="77777777" w:rsidR="00542B38" w:rsidRPr="00B14B25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5A1093AB" w14:textId="77777777" w:rsidR="00EB3B4F" w:rsidRPr="00B14B25" w:rsidRDefault="00D24E7E" w:rsidP="0005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The course will be divided into two parts: ‘the lecture’ part’ (15 h), and ‘the workshop part’ (15 h)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>. During the workshop part students will be asked to present examples of their own interdisciplinary research (if they make this kind of research) or the examples of interdisciplin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>ary research they know. These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presentation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>s, in which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students will be expected to draw on the knowledge acquired 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>from the lecture part, will be the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basis of verification of learning outcomes. The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 xml:space="preserve"> presentation’s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 xml:space="preserve">evaluation will 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be based on 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>its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clarity, consistency, 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>perspicacity and depth.</w:t>
            </w:r>
          </w:p>
        </w:tc>
      </w:tr>
      <w:tr w:rsidR="00B14B25" w:rsidRPr="00B14B25" w14:paraId="65BA9CA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2E4DE69" w14:textId="77777777" w:rsidR="00542B38" w:rsidRPr="00B14B25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313552EA" w14:textId="6501C803" w:rsidR="00EB3B4F" w:rsidRPr="00B14B25" w:rsidRDefault="00A46347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US"/>
              </w:rPr>
              <w:t>obligatory</w:t>
            </w:r>
          </w:p>
        </w:tc>
      </w:tr>
      <w:tr w:rsidR="00B14B25" w:rsidRPr="00B14B25" w14:paraId="41AE1A5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3184447" w14:textId="77777777" w:rsidR="00542B38" w:rsidRPr="00B14B25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15002592" w14:textId="61B8A846" w:rsidR="00EB3B4F" w:rsidRPr="00B14B25" w:rsidRDefault="00A46347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Pr="00B14B25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nd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or 3</w:t>
            </w:r>
            <w:r w:rsidRPr="00B14B25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rd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</w:tr>
      <w:tr w:rsidR="00B14B25" w:rsidRPr="00B14B25" w14:paraId="638D8F8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F3586AC" w14:textId="77777777" w:rsidR="00542B38" w:rsidRPr="00B14B25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537C531E" w14:textId="77777777" w:rsidR="00EB3B4F" w:rsidRPr="00B14B25" w:rsidRDefault="00A647C7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="00793025" w:rsidRPr="00B14B25">
              <w:rPr>
                <w:rFonts w:ascii="Times New Roman" w:eastAsia="Calibri" w:hAnsi="Times New Roman" w:cs="Times New Roman"/>
                <w:lang w:val="en-GB"/>
              </w:rPr>
              <w:t>ummer</w:t>
            </w:r>
          </w:p>
        </w:tc>
      </w:tr>
      <w:tr w:rsidR="00B14B25" w:rsidRPr="00B14B25" w14:paraId="30697D1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8C8CC0B" w14:textId="77777777" w:rsidR="00542B38" w:rsidRPr="00B14B25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5A48A832" w14:textId="77777777" w:rsidR="00EB3B4F" w:rsidRPr="00B14B25" w:rsidRDefault="00284490" w:rsidP="00EE0101">
            <w:pPr>
              <w:rPr>
                <w:rFonts w:ascii="Times New Roman" w:eastAsia="Calibri" w:hAnsi="Times New Roman" w:cs="Times New Roman"/>
              </w:rPr>
            </w:pPr>
            <w:r w:rsidRPr="00B14B25">
              <w:rPr>
                <w:rFonts w:ascii="Times New Roman" w:eastAsia="Calibri" w:hAnsi="Times New Roman" w:cs="Times New Roman"/>
              </w:rPr>
              <w:t>Prof. dr hab. Wojciech Załuski</w:t>
            </w:r>
          </w:p>
        </w:tc>
      </w:tr>
      <w:tr w:rsidR="00B14B25" w:rsidRPr="00B14B25" w14:paraId="47B9724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9F025DB" w14:textId="77777777" w:rsidR="00AC38E9" w:rsidRPr="00B14B25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Name and surname of person/s conducting an examination or granting credit in the case when this </w:t>
            </w:r>
            <w:proofErr w:type="spellStart"/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6CE9283C" w14:textId="77777777" w:rsidR="00EB3B4F" w:rsidRPr="00B14B25" w:rsidRDefault="00284490" w:rsidP="00EE0101">
            <w:pPr>
              <w:rPr>
                <w:rFonts w:ascii="Times New Roman" w:eastAsia="Calibri" w:hAnsi="Times New Roman" w:cs="Times New Roman"/>
              </w:rPr>
            </w:pPr>
            <w:r w:rsidRPr="00B14B25">
              <w:rPr>
                <w:rFonts w:ascii="Times New Roman" w:eastAsia="Calibri" w:hAnsi="Times New Roman" w:cs="Times New Roman"/>
              </w:rPr>
              <w:t>Prof. dr hab. Wojciech Załuski</w:t>
            </w:r>
          </w:p>
        </w:tc>
      </w:tr>
      <w:tr w:rsidR="00B14B25" w:rsidRPr="00B14B25" w14:paraId="3C16744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06281B0" w14:textId="77777777" w:rsidR="00AC38E9" w:rsidRPr="00B14B25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4E15F9A1" w14:textId="77777777" w:rsidR="00595EA0" w:rsidRPr="00B14B25" w:rsidRDefault="00A647C7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Active participation in the course </w:t>
            </w:r>
            <w:r w:rsidRPr="00B14B25">
              <w:rPr>
                <w:rFonts w:ascii="Times New Roman" w:eastAsia="Calibri" w:hAnsi="Times New Roman" w:cs="Times New Roman"/>
                <w:i/>
                <w:lang w:val="en-GB"/>
              </w:rPr>
              <w:t>plus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making a presentation (in the ‘workshop part’).</w:t>
            </w:r>
          </w:p>
        </w:tc>
      </w:tr>
      <w:tr w:rsidR="00B14B25" w:rsidRPr="00B14B25" w14:paraId="157FB5A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47772A7" w14:textId="77777777" w:rsidR="00AC38E9" w:rsidRPr="00B14B25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3576469D" w14:textId="77777777" w:rsidR="00EB3B4F" w:rsidRPr="00B14B25" w:rsidRDefault="00A647C7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None</w:t>
            </w:r>
          </w:p>
        </w:tc>
      </w:tr>
      <w:tr w:rsidR="00B14B25" w:rsidRPr="00B14B25" w14:paraId="2C2CD03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F6784A1" w14:textId="77777777" w:rsidR="00AC38E9" w:rsidRPr="00B14B25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2157F599" w14:textId="77777777" w:rsidR="00AC38E9" w:rsidRPr="00B14B25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4675B1A5" w14:textId="77777777" w:rsidR="00CA1C9F" w:rsidRPr="00B14B25" w:rsidRDefault="00A647C7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US"/>
              </w:rPr>
              <w:t>Lecture part: 15 h. Workshop part: 15 h. Students are expected to (actively and directly) participate in both parts.</w:t>
            </w:r>
          </w:p>
        </w:tc>
      </w:tr>
      <w:tr w:rsidR="00B14B25" w:rsidRPr="00B14B25" w14:paraId="0EA0A2B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E3CE6E9" w14:textId="77777777" w:rsidR="00AC38E9" w:rsidRPr="00B14B25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11734812" w14:textId="756A1C40" w:rsidR="00EB3B4F" w:rsidRPr="00B14B25" w:rsidRDefault="00A46347" w:rsidP="00EE0101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iCs/>
                <w:lang w:val="en-US"/>
              </w:rPr>
              <w:t>2 ECTS</w:t>
            </w:r>
          </w:p>
        </w:tc>
      </w:tr>
      <w:tr w:rsidR="00B14B25" w:rsidRPr="00B14B25" w14:paraId="59D599A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38E5D6E" w14:textId="77777777" w:rsidR="00AC38E9" w:rsidRPr="00B14B25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28EC42E3" w14:textId="45A5BF32" w:rsidR="00E45B95" w:rsidRPr="00B14B25" w:rsidRDefault="00A46347" w:rsidP="00A46347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Contact hours – 30 h</w:t>
            </w:r>
          </w:p>
          <w:p w14:paraId="6493DC8E" w14:textId="77777777" w:rsidR="00A46347" w:rsidRPr="00B14B25" w:rsidRDefault="00A46347" w:rsidP="00A46347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Preparation of the oral presentation – 10 h</w:t>
            </w:r>
          </w:p>
          <w:p w14:paraId="665DCB92" w14:textId="77777777" w:rsidR="00A46347" w:rsidRPr="00B14B25" w:rsidRDefault="00A46347" w:rsidP="00A46347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Conducting literature studies – 20 h</w:t>
            </w:r>
          </w:p>
          <w:p w14:paraId="47A32BD6" w14:textId="50EECDA1" w:rsidR="00A46347" w:rsidRPr="00B14B25" w:rsidRDefault="00A46347" w:rsidP="00A46347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In total: 60 h (2 ECTS)</w:t>
            </w:r>
          </w:p>
        </w:tc>
      </w:tr>
      <w:tr w:rsidR="00B14B25" w:rsidRPr="00B14B25" w14:paraId="2BDB3E4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2740DCE" w14:textId="77777777" w:rsidR="00AC38E9" w:rsidRPr="00B14B25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694280E2" w14:textId="77777777" w:rsidR="00EB3B4F" w:rsidRPr="00B14B25" w:rsidRDefault="00A35499" w:rsidP="00A647C7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Lecture part: </w:t>
            </w:r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>‘</w:t>
            </w:r>
            <w:proofErr w:type="spellStart"/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>a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>ctivizing</w:t>
            </w:r>
            <w:proofErr w:type="spellEnd"/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’, problem-based lecture, which aims </w:t>
            </w:r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>at triggering off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discussion</w:t>
            </w:r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 xml:space="preserve">s and </w:t>
            </w:r>
            <w:r w:rsidR="00C92D8F" w:rsidRPr="00B14B25">
              <w:rPr>
                <w:rFonts w:ascii="Times New Roman" w:eastAsia="Calibri" w:hAnsi="Times New Roman" w:cs="Times New Roman"/>
                <w:lang w:val="en-GB"/>
              </w:rPr>
              <w:t xml:space="preserve">at </w:t>
            </w:r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>encouraging students to</w:t>
            </w:r>
            <w:r w:rsidR="00C92D8F" w:rsidRPr="00B14B25">
              <w:rPr>
                <w:rFonts w:ascii="Times New Roman" w:eastAsia="Calibri" w:hAnsi="Times New Roman" w:cs="Times New Roman"/>
                <w:lang w:val="en-GB"/>
              </w:rPr>
              <w:t xml:space="preserve"> actively</w:t>
            </w:r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 xml:space="preserve"> take part in them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  <w:p w14:paraId="3757516B" w14:textId="77777777" w:rsidR="00A35499" w:rsidRPr="00B14B25" w:rsidRDefault="00A35499" w:rsidP="00A647C7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Workshop part: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>seminar-like discussion around students’ presentations (of the examples of interdisciplinary research).</w:t>
            </w:r>
          </w:p>
        </w:tc>
      </w:tr>
      <w:tr w:rsidR="00B14B25" w:rsidRPr="00B14B25" w14:paraId="4248FAE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4F008ED" w14:textId="77777777" w:rsidR="00AC38E9" w:rsidRPr="00B14B25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5793203F" w14:textId="77777777" w:rsidR="00EB3B4F" w:rsidRPr="00B14B25" w:rsidRDefault="00A35499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Active and direct participation in the course </w:t>
            </w:r>
            <w:r w:rsidRPr="00B14B25">
              <w:rPr>
                <w:rFonts w:ascii="Times New Roman" w:eastAsia="Calibri" w:hAnsi="Times New Roman" w:cs="Times New Roman"/>
                <w:i/>
                <w:lang w:val="en-GB"/>
              </w:rPr>
              <w:t>plus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making a presentation (in the ‘workshop part’).</w:t>
            </w:r>
          </w:p>
        </w:tc>
      </w:tr>
      <w:tr w:rsidR="00B14B25" w:rsidRPr="00B14B25" w14:paraId="10ACCD0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4CE9750" w14:textId="77777777" w:rsidR="000C0811" w:rsidRPr="00B14B25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048F834D" w14:textId="77777777" w:rsidR="00F07A74" w:rsidRPr="00B14B25" w:rsidRDefault="00A35499" w:rsidP="00B42BD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The course will be divided into two parts: ‘the lecture’ part’ (15 h), and ‘the workshop part’ (15 h).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The first lecture will introduce the students to the concept of interdisciplinarity and the related concepts (of </w:t>
            </w:r>
            <w:proofErr w:type="spellStart"/>
            <w:r w:rsidRPr="00B14B25">
              <w:rPr>
                <w:rFonts w:ascii="Times New Roman" w:eastAsia="Calibri" w:hAnsi="Times New Roman" w:cs="Times New Roman"/>
                <w:lang w:val="en-US"/>
              </w:rPr>
              <w:t>multidisciplinarity</w:t>
            </w:r>
            <w:proofErr w:type="spellEnd"/>
            <w:r w:rsidRPr="00B14B25">
              <w:rPr>
                <w:rFonts w:ascii="Times New Roman" w:eastAsia="Calibri" w:hAnsi="Times New Roman" w:cs="Times New Roman"/>
                <w:lang w:val="en-US"/>
              </w:rPr>
              <w:t>, non-</w:t>
            </w:r>
            <w:proofErr w:type="spellStart"/>
            <w:r w:rsidRPr="00B14B25">
              <w:rPr>
                <w:rFonts w:ascii="Times New Roman" w:eastAsia="Calibri" w:hAnsi="Times New Roman" w:cs="Times New Roman"/>
                <w:lang w:val="en-US"/>
              </w:rPr>
              <w:t>disciplinarity</w:t>
            </w:r>
            <w:proofErr w:type="spellEnd"/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proofErr w:type="spellStart"/>
            <w:r w:rsidRPr="00B14B25">
              <w:rPr>
                <w:rFonts w:ascii="Times New Roman" w:eastAsia="Calibri" w:hAnsi="Times New Roman" w:cs="Times New Roman"/>
                <w:lang w:val="en-US"/>
              </w:rPr>
              <w:t>transdisciplinarity</w:t>
            </w:r>
            <w:proofErr w:type="spellEnd"/>
            <w:r w:rsidRPr="00B14B25">
              <w:rPr>
                <w:rFonts w:ascii="Times New Roman" w:eastAsia="Calibri" w:hAnsi="Times New Roman" w:cs="Times New Roman"/>
                <w:lang w:val="en-US"/>
              </w:rPr>
              <w:t>, various forms of ‘reductionism’ )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and will draw their attention to the most common ‘pitfalls’ of interdisciplinary research. The remaining lecture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will discuss  examples of successful interdisciplinary research above all 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from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various branches of the social sciences  (economics, sociology, psychology/cognitive science) but also 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>from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the 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>legal sciences</w:t>
            </w:r>
            <w:r w:rsidR="00B42BDF" w:rsidRPr="00B14B25">
              <w:rPr>
                <w:rFonts w:ascii="Times New Roman" w:eastAsia="Calibri" w:hAnsi="Times New Roman" w:cs="Times New Roman"/>
                <w:lang w:val="en-US"/>
              </w:rPr>
              <w:t xml:space="preserve"> (especially: law-economics, and law-Darwinian evolutionary theory) and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 from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the humanities (history</w:t>
            </w:r>
            <w:r w:rsidR="00257D2C" w:rsidRPr="00B14B25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="00257D2C" w:rsidRPr="00B14B25">
              <w:rPr>
                <w:rFonts w:ascii="Times New Roman" w:eastAsia="Calibri" w:hAnsi="Times New Roman" w:cs="Times New Roman"/>
                <w:lang w:val="en-US"/>
              </w:rPr>
              <w:lastRenderedPageBreak/>
              <w:t>especially: history-economics, history-geography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).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 In the  workshop part students will be asked to present additional examples of successful interdisciplinary research.</w:t>
            </w:r>
          </w:p>
        </w:tc>
      </w:tr>
      <w:tr w:rsidR="00B14B25" w:rsidRPr="00B14B25" w14:paraId="32EAA14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0427E40" w14:textId="77777777" w:rsidR="005947AB" w:rsidRPr="00B14B25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List of basic as well as supplementary literature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21F24EFE" w14:textId="77777777" w:rsidR="00F07A74" w:rsidRPr="00B14B25" w:rsidRDefault="00A35499" w:rsidP="00A35499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i/>
                <w:lang w:val="en-US"/>
              </w:rPr>
              <w:t>Basic literature:</w:t>
            </w:r>
          </w:p>
          <w:p w14:paraId="67CD35C5" w14:textId="77777777" w:rsidR="00A35499" w:rsidRPr="00B14B25" w:rsidRDefault="00A35499" w:rsidP="00A3549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4B25">
              <w:rPr>
                <w:rFonts w:ascii="Times New Roman" w:hAnsi="Times New Roman" w:cs="Times New Roman"/>
                <w:lang w:val="en-US"/>
              </w:rPr>
              <w:t>Elster</w:t>
            </w:r>
            <w:proofErr w:type="spellEnd"/>
            <w:r w:rsidRPr="00B14B25">
              <w:rPr>
                <w:rFonts w:ascii="Times New Roman" w:hAnsi="Times New Roman" w:cs="Times New Roman"/>
                <w:lang w:val="en-US"/>
              </w:rPr>
              <w:t>, J. 2007. Explaining Social Behavior, Cambridge: Cambridge University Press.</w:t>
            </w:r>
          </w:p>
          <w:p w14:paraId="4694BC0E" w14:textId="77777777" w:rsidR="00051D50" w:rsidRPr="00B14B25" w:rsidRDefault="00A35499" w:rsidP="00A3549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4B25">
              <w:rPr>
                <w:rFonts w:ascii="Times New Roman" w:hAnsi="Times New Roman" w:cs="Times New Roman"/>
                <w:i/>
                <w:lang w:val="en-US"/>
              </w:rPr>
              <w:t>Supplementary literature:</w:t>
            </w:r>
          </w:p>
          <w:p w14:paraId="52FF37BB" w14:textId="77777777" w:rsidR="00CC742A" w:rsidRPr="00B14B25" w:rsidRDefault="00CC742A" w:rsidP="00A35499">
            <w:pPr>
              <w:rPr>
                <w:rFonts w:ascii="Times New Roman" w:hAnsi="Times New Roman" w:cs="Times New Roman"/>
                <w:lang w:val="en-US"/>
              </w:rPr>
            </w:pPr>
            <w:r w:rsidRPr="00B14B25">
              <w:rPr>
                <w:rFonts w:ascii="Times New Roman" w:hAnsi="Times New Roman" w:cs="Times New Roman"/>
                <w:lang w:val="en-US"/>
              </w:rPr>
              <w:t>Bunge, M. 1998. Social Science under Debate: A Philosophical Perspective, Toronto: University of Toronto Press.</w:t>
            </w:r>
          </w:p>
          <w:p w14:paraId="2409E830" w14:textId="77777777" w:rsidR="000050A4" w:rsidRPr="00B14B25" w:rsidRDefault="000050A4" w:rsidP="00A35499">
            <w:pPr>
              <w:rPr>
                <w:rFonts w:ascii="Times New Roman" w:hAnsi="Times New Roman" w:cs="Times New Roman"/>
                <w:lang w:val="en-US"/>
              </w:rPr>
            </w:pPr>
            <w:r w:rsidRPr="00B14B25">
              <w:rPr>
                <w:rFonts w:ascii="Times New Roman" w:hAnsi="Times New Roman" w:cs="Times New Roman"/>
                <w:lang w:val="en-US"/>
              </w:rPr>
              <w:t>Diamond, J. 1997. Guns, Germs, and Steel: The Fates of Human Societies, New York: W.W. Norton &amp; Company.</w:t>
            </w:r>
          </w:p>
          <w:p w14:paraId="2B1D3874" w14:textId="77777777" w:rsidR="00051D50" w:rsidRPr="00B14B25" w:rsidRDefault="00051D50" w:rsidP="00A35499">
            <w:pPr>
              <w:rPr>
                <w:rFonts w:ascii="Times New Roman" w:hAnsi="Times New Roman" w:cs="Times New Roman"/>
                <w:lang w:val="en-US"/>
              </w:rPr>
            </w:pPr>
            <w:r w:rsidRPr="00B14B25">
              <w:rPr>
                <w:rFonts w:ascii="Times New Roman" w:hAnsi="Times New Roman" w:cs="Times New Roman"/>
                <w:lang w:val="en-US"/>
              </w:rPr>
              <w:t>Miller, R.C. 1982. Varieties of Interdisciplinary Approaches in the Social Sciences. Issues in Integrative Studies (1), ss. 1–37.</w:t>
            </w:r>
          </w:p>
          <w:p w14:paraId="1B0B8AC4" w14:textId="77777777" w:rsidR="00A35499" w:rsidRPr="00B14B25" w:rsidRDefault="00A35499" w:rsidP="00A35499">
            <w:pPr>
              <w:rPr>
                <w:rStyle w:val="st"/>
                <w:rFonts w:ascii="Times New Roman" w:hAnsi="Times New Roman" w:cs="Times New Roman"/>
                <w:lang w:val="en-US"/>
              </w:rPr>
            </w:pPr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 xml:space="preserve">Searle, J., 1992, The </w:t>
            </w:r>
            <w:r w:rsidRPr="00B14B25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>Rediscovery</w:t>
            </w:r>
            <w:r w:rsidRPr="00B14B25">
              <w:rPr>
                <w:rStyle w:val="st"/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of the</w:t>
            </w:r>
            <w:r w:rsidRPr="00B14B25">
              <w:rPr>
                <w:rStyle w:val="st"/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14B25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>Mind</w:t>
            </w:r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, Cambridge, MA., MIT Press.</w:t>
            </w:r>
          </w:p>
          <w:p w14:paraId="24D745C4" w14:textId="77777777" w:rsidR="00A35499" w:rsidRPr="00B14B25" w:rsidRDefault="00A35499" w:rsidP="00A35499">
            <w:pPr>
              <w:rPr>
                <w:rStyle w:val="st"/>
                <w:rFonts w:ascii="Times New Roman" w:hAnsi="Times New Roman" w:cs="Times New Roman"/>
                <w:lang w:val="en-US"/>
              </w:rPr>
            </w:pPr>
            <w:proofErr w:type="spellStart"/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Załuski</w:t>
            </w:r>
            <w:proofErr w:type="spellEnd"/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, W. 2013, Game Theory in Jurisprudence, Krakow: Copernicus Center Press.</w:t>
            </w:r>
          </w:p>
          <w:p w14:paraId="719C2B65" w14:textId="77777777" w:rsidR="00A35499" w:rsidRPr="00B14B25" w:rsidRDefault="00A35499" w:rsidP="00A3549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Załuski</w:t>
            </w:r>
            <w:proofErr w:type="spellEnd"/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, W. 2018, Law and Evil: The Evolutionary Perspective, Cheltenham, UK: Edward Elgar Publishing.</w:t>
            </w:r>
          </w:p>
          <w:p w14:paraId="0F39AE91" w14:textId="77777777" w:rsidR="00A35499" w:rsidRPr="00B14B25" w:rsidRDefault="00A35499" w:rsidP="00A3549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6E3B02C0" w14:textId="77777777" w:rsidR="00EB3B4F" w:rsidRPr="00B14B25" w:rsidRDefault="00EB3B4F" w:rsidP="00EB3B4F">
      <w:pPr>
        <w:rPr>
          <w:rFonts w:ascii="Times New Roman" w:hAnsi="Times New Roman" w:cs="Times New Roman"/>
          <w:lang w:val="en-US"/>
        </w:rPr>
      </w:pPr>
    </w:p>
    <w:p w14:paraId="68E582A6" w14:textId="77777777" w:rsidR="005009C0" w:rsidRPr="00B14B25" w:rsidRDefault="005009C0">
      <w:pPr>
        <w:rPr>
          <w:rFonts w:ascii="Times New Roman" w:hAnsi="Times New Roman" w:cs="Times New Roman"/>
          <w:lang w:val="en-US"/>
        </w:rPr>
      </w:pPr>
    </w:p>
    <w:sectPr w:rsidR="005009C0" w:rsidRPr="00B14B25" w:rsidSect="0056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4F"/>
    <w:rsid w:val="000050A4"/>
    <w:rsid w:val="00051D50"/>
    <w:rsid w:val="000C0811"/>
    <w:rsid w:val="001301EC"/>
    <w:rsid w:val="00240D60"/>
    <w:rsid w:val="00257D2C"/>
    <w:rsid w:val="00284490"/>
    <w:rsid w:val="002D6A36"/>
    <w:rsid w:val="00376D83"/>
    <w:rsid w:val="005009C0"/>
    <w:rsid w:val="00542B38"/>
    <w:rsid w:val="00564BD5"/>
    <w:rsid w:val="005947AB"/>
    <w:rsid w:val="00595EA0"/>
    <w:rsid w:val="00793025"/>
    <w:rsid w:val="008235D3"/>
    <w:rsid w:val="00823CD8"/>
    <w:rsid w:val="00891FE6"/>
    <w:rsid w:val="008A3A3B"/>
    <w:rsid w:val="00991D45"/>
    <w:rsid w:val="00A35499"/>
    <w:rsid w:val="00A46347"/>
    <w:rsid w:val="00A647C7"/>
    <w:rsid w:val="00A65DEC"/>
    <w:rsid w:val="00AC38E9"/>
    <w:rsid w:val="00B14B25"/>
    <w:rsid w:val="00B42BDF"/>
    <w:rsid w:val="00B43682"/>
    <w:rsid w:val="00C649F7"/>
    <w:rsid w:val="00C92D8F"/>
    <w:rsid w:val="00CA1C9F"/>
    <w:rsid w:val="00CA5677"/>
    <w:rsid w:val="00CC742A"/>
    <w:rsid w:val="00D24E7E"/>
    <w:rsid w:val="00D6078C"/>
    <w:rsid w:val="00E45B95"/>
    <w:rsid w:val="00EB3B4F"/>
    <w:rsid w:val="00EE71C5"/>
    <w:rsid w:val="00F07A74"/>
    <w:rsid w:val="00F2369E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EB63"/>
  <w15:docId w15:val="{6F8AC5C7-9D13-4943-8663-D71F15E0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customStyle="1" w:styleId="st">
    <w:name w:val="st"/>
    <w:basedOn w:val="Domylnaczcionkaakapitu"/>
    <w:rsid w:val="00A35499"/>
  </w:style>
  <w:style w:type="character" w:styleId="Uwydatnienie">
    <w:name w:val="Emphasis"/>
    <w:basedOn w:val="Domylnaczcionkaakapitu"/>
    <w:uiPriority w:val="20"/>
    <w:qFormat/>
    <w:rsid w:val="00A35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Monika Flo</cp:lastModifiedBy>
  <cp:revision>4</cp:revision>
  <dcterms:created xsi:type="dcterms:W3CDTF">2020-06-20T13:53:00Z</dcterms:created>
  <dcterms:modified xsi:type="dcterms:W3CDTF">2020-06-20T15:05:00Z</dcterms:modified>
</cp:coreProperties>
</file>