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118"/>
      </w:tblGrid>
      <w:tr w:rsidR="009D2629" w:rsidRPr="009D2629" w14:paraId="094CEDA5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72CF36B1" w14:textId="627A35E2" w:rsidR="009D2629" w:rsidRPr="00BD748B" w:rsidRDefault="007E56BF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Contemporary challenges to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geopolitic</w:t>
            </w:r>
            <w:proofErr w:type="spellEnd"/>
          </w:p>
        </w:tc>
      </w:tr>
      <w:tr w:rsidR="009D2629" w:rsidRPr="009D2629" w14:paraId="0490750C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C311D9" w14:textId="505F71AF" w:rsidR="009D2629" w:rsidRPr="009D2629" w:rsidRDefault="007E56BF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angielsk</w:t>
            </w:r>
            <w:r w:rsidR="00324D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9D2629" w:rsidRPr="007E56BF" w14:paraId="24DBB8BA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583414EE" w:rsidR="009D2629" w:rsidRPr="007E56BF" w:rsidRDefault="007E56B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D2DBD">
              <w:rPr>
                <w:lang w:val="en-US"/>
              </w:rPr>
              <w:t xml:space="preserve">Student knows basic paradigms and perspectives on </w:t>
            </w:r>
            <w:r>
              <w:rPr>
                <w:lang w:val="en-US"/>
              </w:rPr>
              <w:t>contemporary geopolitics</w:t>
            </w:r>
            <w:r w:rsidRPr="003D2DBD">
              <w:rPr>
                <w:lang w:val="en-US"/>
              </w:rPr>
              <w:t xml:space="preserve">. Student is able to draw his/her own conclusions from given study cases. Student is prepared to propose his/her own scenarios; is able to forecast future problems and challenges </w:t>
            </w:r>
            <w:r>
              <w:rPr>
                <w:lang w:val="en-US"/>
              </w:rPr>
              <w:t>for geopolitics</w:t>
            </w:r>
            <w:r w:rsidRPr="003D2DBD">
              <w:rPr>
                <w:lang w:val="en-US"/>
              </w:rPr>
              <w:t>.</w:t>
            </w:r>
          </w:p>
        </w:tc>
      </w:tr>
      <w:tr w:rsidR="009D2629" w:rsidRPr="007E56BF" w14:paraId="68038498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A67B7D1" w14:textId="06C9223F" w:rsidR="009D2629" w:rsidRPr="007E56BF" w:rsidRDefault="007E56B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3D2DBD">
              <w:rPr>
                <w:lang w:val="en-US"/>
              </w:rPr>
              <w:t>Student is able to apply basic elements of</w:t>
            </w:r>
            <w:r>
              <w:rPr>
                <w:lang w:val="en-US"/>
              </w:rPr>
              <w:t xml:space="preserve"> geopolitics to analyze contemporary </w:t>
            </w:r>
            <w:r w:rsidRPr="003D2DBD">
              <w:rPr>
                <w:lang w:val="en-US"/>
              </w:rPr>
              <w:t xml:space="preserve">international </w:t>
            </w:r>
            <w:r>
              <w:rPr>
                <w:lang w:val="en-US"/>
              </w:rPr>
              <w:t>order</w:t>
            </w:r>
            <w:r w:rsidRPr="003D2DBD">
              <w:rPr>
                <w:lang w:val="en-US"/>
              </w:rPr>
              <w:t xml:space="preserve">. Student is able to compare national policies of major powers. Student is able to present pros and cons for </w:t>
            </w:r>
            <w:r>
              <w:rPr>
                <w:lang w:val="en-US"/>
              </w:rPr>
              <w:t>contemporary geopolitics</w:t>
            </w:r>
            <w:r w:rsidRPr="003D2DBD">
              <w:rPr>
                <w:lang w:val="en-US"/>
              </w:rPr>
              <w:t xml:space="preserve">. Student is able to trace legal </w:t>
            </w:r>
            <w:r>
              <w:rPr>
                <w:lang w:val="en-US"/>
              </w:rPr>
              <w:t xml:space="preserve">and economic </w:t>
            </w:r>
            <w:r w:rsidRPr="003D2DBD">
              <w:rPr>
                <w:lang w:val="en-US"/>
              </w:rPr>
              <w:t xml:space="preserve">instruments necessary to control and regulate </w:t>
            </w:r>
            <w:r>
              <w:rPr>
                <w:lang w:val="en-US"/>
              </w:rPr>
              <w:t>geopolitics relations.</w:t>
            </w:r>
          </w:p>
        </w:tc>
      </w:tr>
      <w:tr w:rsidR="007E56BF" w:rsidRPr="007E56BF" w14:paraId="7C25C0F7" w14:textId="77777777" w:rsidTr="007E56BF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7E56BF" w:rsidRPr="009D2629" w:rsidRDefault="007E56BF" w:rsidP="007E56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27263BE5" w:rsidR="007E56BF" w:rsidRPr="007E56BF" w:rsidRDefault="007E56BF" w:rsidP="007E56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 oral exam, three open questions</w:t>
            </w:r>
          </w:p>
        </w:tc>
      </w:tr>
      <w:tr w:rsidR="009D2629" w:rsidRPr="009D2629" w14:paraId="628E2AD3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5961180A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080094C0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108C1D3" w14:textId="77777777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9D2629" w:rsidRPr="009D2629" w14:paraId="2F4A7178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05C483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03A0BC49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3F84B573" w:rsidR="009D2629" w:rsidRPr="009D2629" w:rsidRDefault="007E56B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dr hab. Paweł Frankowski, prof. UJ</w:t>
            </w:r>
          </w:p>
        </w:tc>
      </w:tr>
      <w:tr w:rsidR="009D2629" w:rsidRPr="009D2629" w14:paraId="35728E29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3B48866C" w:rsidR="009D2629" w:rsidRPr="009D2629" w:rsidRDefault="007E56BF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D2629" w:rsidRPr="009D2629" w14:paraId="51A890CA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8ACB5D" w14:textId="51860E8D" w:rsidR="009D2629" w:rsidRPr="00BD748B" w:rsidRDefault="007E56B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</w:t>
            </w:r>
          </w:p>
        </w:tc>
      </w:tr>
      <w:tr w:rsidR="009D2629" w:rsidRPr="009D2629" w14:paraId="505FEC8B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3610894" w14:textId="66442831" w:rsidR="009D2629" w:rsidRPr="009D2629" w:rsidRDefault="007E56B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brak</w:t>
            </w:r>
          </w:p>
          <w:p w14:paraId="1C930C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i liczba godzin zajęć dydaktycznych wymagających bezpośredniego udziału nauczyciela akademickiego i studentów, gdy w danym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0DD1046B" w14:textId="25052709" w:rsidR="009D2629" w:rsidRPr="009D2629" w:rsidRDefault="007E56BF" w:rsidP="007E5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30 h, konwersatorium</w:t>
            </w:r>
          </w:p>
        </w:tc>
      </w:tr>
      <w:tr w:rsidR="009D2629" w:rsidRPr="009D2629" w14:paraId="7796E0DD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2A617E36" w:rsidR="009D2629" w:rsidRPr="009D2629" w:rsidRDefault="00324DD8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 ECTS</w:t>
            </w:r>
          </w:p>
          <w:p w14:paraId="3CAA980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4AE90CF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9A4228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58CD35A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538F889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5579B1A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14:paraId="7CE6054A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30 h</w:t>
            </w:r>
          </w:p>
          <w:p w14:paraId="1F65E7B6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14:paraId="23770676" w14:textId="77777777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283FB270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61C0E3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D5A599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4E2B576F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C4C7C1B" w14:textId="6916A4F5" w:rsidR="007E56BF" w:rsidRPr="009D2629" w:rsidRDefault="009D2629" w:rsidP="007E56BF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problemowe </w:t>
            </w:r>
            <w:r w:rsidR="007E56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problemowy, wykład konwersatoryjny</w:t>
            </w:r>
          </w:p>
          <w:p w14:paraId="4C9759B1" w14:textId="13836F82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D02CA47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49A3C62F" w14:textId="1B95F070" w:rsidR="009D2629" w:rsidRPr="009D2629" w:rsidRDefault="007E56BF" w:rsidP="007E56BF">
            <w:pPr>
              <w:spacing w:after="0" w:line="240" w:lineRule="auto"/>
              <w:ind w:left="714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  <w:p w14:paraId="2AF6E6D9" w14:textId="77777777"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60E94C0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58A2FB76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Typologia i wyznaczniki hierarchii państw – Saul Cohen</w:t>
            </w:r>
          </w:p>
          <w:p w14:paraId="7F95B109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Obszary geopolityczne – rdzenie, stolice,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ekumenia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, efektywne terytoria narodowe i regionalne, obszary niedostosowane</w:t>
            </w:r>
          </w:p>
          <w:p w14:paraId="2CB597F0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Struktury geopolityczne – pasy wstrząsów/strefy zgniotu</w:t>
            </w:r>
          </w:p>
          <w:p w14:paraId="4D929ACB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Uwarunkowania geostrategiczne – położenie, klimat, rozmiar, </w:t>
            </w:r>
          </w:p>
          <w:p w14:paraId="17A5011A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Regionalizacja globalna/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megaregiony</w:t>
            </w:r>
            <w:proofErr w:type="spellEnd"/>
          </w:p>
          <w:p w14:paraId="302812B2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Granice i pogranicza w stosunkach międzynarodowych</w:t>
            </w:r>
          </w:p>
          <w:p w14:paraId="0C61FEC0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Relacje centrum – peryferie – Stein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Rokkan</w:t>
            </w:r>
            <w:proofErr w:type="spellEnd"/>
          </w:p>
          <w:p w14:paraId="3311B713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Geostrategia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przestrzeni kosmicznej</w:t>
            </w:r>
          </w:p>
          <w:p w14:paraId="49A91610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Geostrategia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sieci transportowe</w:t>
            </w:r>
          </w:p>
          <w:p w14:paraId="76C04C8F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Geostragia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internetu</w:t>
            </w:r>
            <w:proofErr w:type="spellEnd"/>
          </w:p>
          <w:p w14:paraId="4A46079B" w14:textId="77777777" w:rsidR="003B5381" w:rsidRPr="002F26BD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Kontrola zasobów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geostrategia</w:t>
            </w:r>
            <w:proofErr w:type="spellEnd"/>
          </w:p>
          <w:p w14:paraId="7B9E904F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Zmiana demograficzna i bezpieczeństwo w stosunkach międzynarodowych - składniki</w:t>
            </w:r>
          </w:p>
          <w:p w14:paraId="0D132016" w14:textId="77777777" w:rsidR="003B5381" w:rsidRPr="002F26BD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Zmiana demograficzna i bezpieczeństwo w stosunkach międzynarodowych – poziomy i uczestnicy konfliktów</w:t>
            </w:r>
          </w:p>
          <w:p w14:paraId="31C2A95C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Kaukaz Południowy/Azja Centralna (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Euroasian</w:t>
            </w:r>
            <w:proofErr w:type="spellEnd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Continental 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Rim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  <w:p w14:paraId="13E7FF33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Azja Południowo-Wschodnia (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South</w:t>
            </w:r>
            <w:proofErr w:type="spellEnd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Asia 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Realm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  <w:p w14:paraId="4635F3A9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Ameryka Południowa (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South</w:t>
            </w:r>
            <w:proofErr w:type="spellEnd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America</w:t>
            </w:r>
            <w:proofErr w:type="spellEnd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Southern </w:t>
            </w:r>
            <w:proofErr w:type="spellStart"/>
            <w:r w:rsidRPr="00A05953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Cone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  <w:p w14:paraId="1ED173B6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Bliski Wschód/Zatoka Perska</w:t>
            </w:r>
          </w:p>
          <w:p w14:paraId="6450D45F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Europa Środkowowschodnia</w:t>
            </w:r>
          </w:p>
          <w:p w14:paraId="0BF036C1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Regiony wrażliwe geopolitycznie – Afryka Północna</w:t>
            </w:r>
          </w:p>
          <w:p w14:paraId="19712F5B" w14:textId="77777777" w:rsidR="003B5381" w:rsidRDefault="003B5381" w:rsidP="003B5381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Geostrategia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dalekiej Północy</w:t>
            </w:r>
          </w:p>
          <w:p w14:paraId="3DEF801B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podać tematykę, która będzie realizowana w ramach modułu z podziałem na poszczególne formy realizacji zajęć.</w:t>
            </w:r>
          </w:p>
          <w:p w14:paraId="28126DE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3B5381" w14:paraId="737AA3D4" w14:textId="77777777" w:rsidTr="007E56BF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788F5E25" w14:textId="727D0C3F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424BBC88" w14:textId="6E8C8525" w:rsidR="007E56BF" w:rsidRDefault="007E56B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1FDCD12F" w14:textId="5CE31F59" w:rsidR="007E56BF" w:rsidRPr="007E56BF" w:rsidRDefault="007E56B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7E56BF">
              <w:rPr>
                <w:rFonts w:ascii="Arial" w:hAnsi="Arial" w:cs="Arial"/>
                <w:sz w:val="23"/>
                <w:szCs w:val="23"/>
                <w:lang w:val="en-US"/>
              </w:rPr>
              <w:t xml:space="preserve">Black, J. (2016) Geopolitics and the Quest for Dominance (Indiana: Indiana University Press) </w:t>
            </w:r>
            <w:r w:rsidRPr="007E56BF">
              <w:rPr>
                <w:rFonts w:ascii="Courier New" w:hAnsi="Courier New" w:cs="Courier New"/>
                <w:sz w:val="23"/>
                <w:szCs w:val="23"/>
                <w:lang w:val="en-US"/>
              </w:rPr>
              <w:t>o</w:t>
            </w:r>
            <w:r w:rsidRPr="007E56BF">
              <w:rPr>
                <w:rFonts w:ascii="Arial" w:hAnsi="Arial" w:cs="Arial"/>
                <w:sz w:val="23"/>
                <w:szCs w:val="23"/>
                <w:lang w:val="en-US"/>
              </w:rPr>
              <w:t xml:space="preserve"> Cohen, B., S. (2015) Geopolitics: The Geography of International Relations, 3</w:t>
            </w:r>
            <w:r w:rsidRPr="007E56BF">
              <w:rPr>
                <w:rFonts w:ascii="Arial" w:hAnsi="Arial" w:cs="Arial"/>
                <w:sz w:val="15"/>
                <w:szCs w:val="15"/>
                <w:lang w:val="en-US"/>
              </w:rPr>
              <w:t>rd</w:t>
            </w:r>
            <w:r w:rsidRPr="007E56BF">
              <w:rPr>
                <w:rFonts w:ascii="Arial" w:hAnsi="Arial" w:cs="Arial"/>
                <w:sz w:val="23"/>
                <w:szCs w:val="23"/>
                <w:lang w:val="en-US"/>
              </w:rPr>
              <w:t xml:space="preserve"> Edition (Maryland: Rowman &amp; Littlefield)</w:t>
            </w:r>
          </w:p>
          <w:p w14:paraId="592F11E5" w14:textId="77777777" w:rsidR="007E56BF" w:rsidRPr="007E56BF" w:rsidRDefault="007E56B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2F1B9FD0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51CEB77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5A030AE7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Agnew John,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Geopolitics: Re-visioning World Politics, Second Edition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n.d.</w:t>
            </w:r>
          </w:p>
          <w:p w14:paraId="41C61C88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Al-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Rodhan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Nayef R. F.,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The politics of emerging strategic technologies: implications for geopolitics, human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lastRenderedPageBreak/>
              <w:t>enhancement and human destiny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Palgrave Macmillan,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Houndmills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Basingstoke - Hampshire 2011.</w:t>
            </w:r>
          </w:p>
          <w:p w14:paraId="6841545C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Beringer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Sarah L., Maier Sylvia, Thiel Markus,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EU Development Policies: Between Norms and Geopolitics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Springer International Publishing, Cham 2019, </w:t>
            </w:r>
            <w:hyperlink r:id="rId7" w:history="1">
              <w:r w:rsidRPr="003B5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http://link.springer.com/10.1007/978-3-030-01307-3</w:t>
              </w:r>
            </w:hyperlink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2D4E4E26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Bialasiewicz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Luiza,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Europe in the world: EU geopolitics and the transformation of European space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Ashgate,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Farnham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2011, Critical geopolitics.</w:t>
            </w:r>
          </w:p>
          <w:p w14:paraId="3018E3E5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Black Jeremy,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Geopolitics and the quest for dominance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Indiana University Press, Bloomington 2016.</w:t>
            </w:r>
          </w:p>
          <w:p w14:paraId="45EB84BC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Bowen Bleddyn E,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War in space: strategy,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spacepower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, geopolitics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Edinburgh University Press 2020.</w:t>
            </w:r>
          </w:p>
          <w:p w14:paraId="774FF124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Cohen Saul Bernard,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Geopolitics: the geography of international relations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Third edition, Rowman &amp; Littlefield, Lanham 2015.</w:t>
            </w:r>
          </w:p>
          <w:p w14:paraId="50E2F1E8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Dittmer Jason,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Captain America and the nationalist superhero: metaphors, narratives, and geopolitics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Temple University Press, Philadelphia 2013.</w:t>
            </w:r>
          </w:p>
          <w:p w14:paraId="2D6726A0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Dittmer Jason, Bos Daniel,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Popular culture, geopolitics, and identity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Second Edition, ROWMAN &amp; LITTLEFIELD, Lanham 2019, Human geography in the twenty-first century: Issues and applications.</w:t>
            </w:r>
          </w:p>
          <w:p w14:paraId="69419DB1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Flint Colin,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Introduction to geopolitics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Routledge, London ; New York 2006.</w:t>
            </w:r>
          </w:p>
          <w:p w14:paraId="154B79C7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Guzzini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Stefano,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The Return of Geopolitics in Europe?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n.d.</w:t>
            </w:r>
          </w:p>
          <w:p w14:paraId="0B8B7F0B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Högselius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Per,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Energy and geopolitics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Routledge, Taylor &amp; Francis Group, London ; New York 2019.</w:t>
            </w:r>
          </w:p>
          <w:p w14:paraId="019581DF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Hommel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Demian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Murphy Alexander B.,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Rethinking geopolitics in an era of climate change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„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GeoJournal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” 2012, t. 78, no 3, pp. 507–524.</w:t>
            </w:r>
          </w:p>
          <w:p w14:paraId="5FA3F651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Kelly Philip,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Classical geopolitics: a new analytical model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Stanford University Press, Stanford, California 2016.</w:t>
            </w:r>
          </w:p>
          <w:p w14:paraId="302D6502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Meunier Sophie,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Nicolaidis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Kalypso,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The </w:t>
            </w:r>
            <w:proofErr w:type="spellStart"/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Geopoliticization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of European Trade and Investment Policy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„JCMS: Journal of Common Market Studies” 2019, t. 57, no S1, pp. 103–113.</w:t>
            </w:r>
          </w:p>
          <w:p w14:paraId="5888CC07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Oualaalou</w:t>
            </w:r>
            <w:proofErr w:type="spellEnd"/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David,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The Dynamics of Russia’s Geopolitics: Remaking the Global Order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Springer International Publishing, Cham 2021, Frontiers in International Relations, </w:t>
            </w:r>
            <w:hyperlink r:id="rId8" w:history="1">
              <w:r w:rsidRPr="003B5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http://link.springer.com/10.1007/978-3-030-58255-5</w:t>
              </w:r>
            </w:hyperlink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1307FB44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Peter Nicolas,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The changing geopolitics of space activities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„Space Policy” 2006, t. 22, no 2, pp. 100–109.</w:t>
            </w:r>
          </w:p>
          <w:p w14:paraId="343F278F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Sneddon Christopher,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Concrete Revolution: Large Dams, Cold War Geopolitics, and the US Bureau of Reclamation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University of Chicago Press 2015, </w:t>
            </w:r>
            <w:hyperlink r:id="rId9" w:history="1">
              <w:r w:rsidRPr="003B53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http://www.bibliovault.org/BV.landing.epl?ISBN=9780226284453</w:t>
              </w:r>
            </w:hyperlink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  <w:p w14:paraId="75DD7A34" w14:textId="77777777" w:rsidR="003B5381" w:rsidRPr="003B5381" w:rsidRDefault="003B5381" w:rsidP="003B5381">
            <w:pPr>
              <w:spacing w:after="0" w:line="240" w:lineRule="auto"/>
              <w:ind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Stahl Anna Katharina, </w:t>
            </w:r>
            <w:r w:rsidRPr="003B53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The Impact of China’s Rise on the EU’s Geopolitical Reach and Interests in Africa</w:t>
            </w:r>
            <w:r w:rsidRPr="003B53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„European Foreign Affairs Review” 2011, t. 16, pp. 427–446.</w:t>
            </w:r>
          </w:p>
          <w:p w14:paraId="6B2487CD" w14:textId="26F32C9B" w:rsidR="009D2629" w:rsidRPr="003B5381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</w:tc>
      </w:tr>
    </w:tbl>
    <w:p w14:paraId="42EBECA2" w14:textId="77777777" w:rsidR="009D2629" w:rsidRPr="003B5381" w:rsidRDefault="009D2629">
      <w:pPr>
        <w:rPr>
          <w:u w:val="single"/>
          <w:lang w:val="en-US"/>
        </w:rPr>
      </w:pPr>
    </w:p>
    <w:sectPr w:rsidR="009D2629" w:rsidRPr="003B5381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89953" w14:textId="77777777" w:rsidR="001D76E9" w:rsidRDefault="001D76E9" w:rsidP="009D2629">
      <w:pPr>
        <w:spacing w:after="0" w:line="240" w:lineRule="auto"/>
      </w:pPr>
      <w:r>
        <w:separator/>
      </w:r>
    </w:p>
  </w:endnote>
  <w:endnote w:type="continuationSeparator" w:id="0">
    <w:p w14:paraId="129B4590" w14:textId="77777777" w:rsidR="001D76E9" w:rsidRDefault="001D76E9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A7EC4" w14:textId="77777777" w:rsidR="001D76E9" w:rsidRDefault="001D76E9" w:rsidP="009D2629">
      <w:pPr>
        <w:spacing w:after="0" w:line="240" w:lineRule="auto"/>
      </w:pPr>
      <w:r>
        <w:separator/>
      </w:r>
    </w:p>
  </w:footnote>
  <w:footnote w:type="continuationSeparator" w:id="0">
    <w:p w14:paraId="6D11113E" w14:textId="77777777" w:rsidR="001D76E9" w:rsidRDefault="001D76E9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A0E71"/>
    <w:multiLevelType w:val="hybridMultilevel"/>
    <w:tmpl w:val="5BE28B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MDUxMjYzMjcwtjRU0lEKTi0uzszPAykwrAUAWC92BSwAAAA="/>
  </w:docVars>
  <w:rsids>
    <w:rsidRoot w:val="009D2629"/>
    <w:rsid w:val="000E6969"/>
    <w:rsid w:val="000F2145"/>
    <w:rsid w:val="000F29D7"/>
    <w:rsid w:val="001324E4"/>
    <w:rsid w:val="001C313B"/>
    <w:rsid w:val="001D76E9"/>
    <w:rsid w:val="00267253"/>
    <w:rsid w:val="002D6077"/>
    <w:rsid w:val="002E0085"/>
    <w:rsid w:val="00324DD8"/>
    <w:rsid w:val="003B5381"/>
    <w:rsid w:val="003D7F42"/>
    <w:rsid w:val="00423876"/>
    <w:rsid w:val="00573862"/>
    <w:rsid w:val="007E56BF"/>
    <w:rsid w:val="009B55CC"/>
    <w:rsid w:val="009D2629"/>
    <w:rsid w:val="00BD748B"/>
    <w:rsid w:val="00C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53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5381"/>
    <w:pPr>
      <w:ind w:left="720"/>
      <w:contextualSpacing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10.1007/978-3-030-58255-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10.1007/978-3-030-01307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vault.org/BV.landing.epl?ISBN=97802262844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Justyna Mroczek</cp:lastModifiedBy>
  <cp:revision>2</cp:revision>
  <dcterms:created xsi:type="dcterms:W3CDTF">2021-01-11T14:05:00Z</dcterms:created>
  <dcterms:modified xsi:type="dcterms:W3CDTF">2021-01-11T14:05:00Z</dcterms:modified>
</cp:coreProperties>
</file>